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5ECEA">
      <w:pPr>
        <w:pStyle w:val="17"/>
        <w:ind w:firstLine="420" w:firstLineChars="50"/>
        <w:jc w:val="right"/>
        <w:rPr>
          <w:rFonts w:cs="新宋体-18030" w:asciiTheme="minorEastAsia" w:hAnsiTheme="minorEastAsia" w:eastAsiaTheme="minorEastAsia"/>
          <w:sz w:val="84"/>
          <w:szCs w:val="84"/>
        </w:rPr>
      </w:pPr>
      <w:r>
        <w:rPr>
          <w:rFonts w:cs="新宋体-18030" w:asciiTheme="minorEastAsia" w:hAnsiTheme="minorEastAsia" w:eastAsiaTheme="minorEastAsia"/>
          <w:sz w:val="84"/>
          <w:szCs w:val="84"/>
        </w:rPr>
        <w:t>JJ</w:t>
      </w:r>
      <w:r>
        <w:rPr>
          <w:rFonts w:hint="eastAsia" w:cs="新宋体-18030" w:asciiTheme="minorEastAsia" w:hAnsiTheme="minorEastAsia" w:eastAsiaTheme="minorEastAsia"/>
          <w:sz w:val="84"/>
          <w:szCs w:val="84"/>
        </w:rPr>
        <w:t>F</w:t>
      </w:r>
    </w:p>
    <w:p w14:paraId="1D5E8894">
      <w:pPr>
        <w:pStyle w:val="17"/>
        <w:rPr>
          <w:rFonts w:ascii="宋体" w:hAnsi="宋体" w:eastAsia="宋体"/>
          <w:sz w:val="52"/>
          <w:szCs w:val="52"/>
        </w:rPr>
      </w:pPr>
    </w:p>
    <w:p w14:paraId="4EAA58C0">
      <w:pPr>
        <w:pStyle w:val="17"/>
        <w:jc w:val="center"/>
        <w:rPr>
          <w:rFonts w:ascii="华文中宋" w:hAnsi="华文中宋" w:eastAsia="华文中宋" w:cs="Arial"/>
          <w:b/>
          <w:sz w:val="52"/>
          <w:szCs w:val="52"/>
        </w:rPr>
      </w:pPr>
      <w:r>
        <w:rPr>
          <w:rFonts w:hint="eastAsia" w:ascii="华文中宋" w:hAnsi="华文中宋" w:eastAsia="华文中宋" w:cs="Arial"/>
          <w:b/>
          <w:sz w:val="52"/>
          <w:szCs w:val="52"/>
        </w:rPr>
        <w:t>中华人民共和国国家计量技术规范</w:t>
      </w:r>
      <w:r>
        <w:rPr>
          <w:rFonts w:ascii="华文中宋" w:hAnsi="华文中宋" w:eastAsia="华文中宋" w:cs="Arial"/>
          <w:b/>
          <w:sz w:val="52"/>
          <w:szCs w:val="52"/>
        </w:rPr>
        <w:t xml:space="preserve"> </w:t>
      </w:r>
    </w:p>
    <w:p w14:paraId="781BA66C"/>
    <w:p w14:paraId="57CC73EB">
      <w:pPr>
        <w:tabs>
          <w:tab w:val="left" w:pos="6390"/>
        </w:tabs>
        <w:ind w:firstLine="5529" w:firstLineChars="1967"/>
        <w:jc w:val="right"/>
        <w:rPr>
          <w:rFonts w:ascii="黑体" w:hAnsi="黑体" w:eastAsia="黑体" w:cs="Arial"/>
          <w:b/>
        </w:rPr>
      </w:pPr>
      <w:r>
        <w:rPr>
          <w:rFonts w:ascii="黑体" w:hAnsi="黑体" w:eastAsia="黑体"/>
          <w:b/>
          <w:sz w:val="28"/>
          <w:szCs w:val="28"/>
        </w:rPr>
        <w:t>JJ</w:t>
      </w:r>
      <w:r>
        <w:rPr>
          <w:rFonts w:hint="eastAsia" w:ascii="黑体" w:hAnsi="黑体" w:eastAsia="黑体"/>
          <w:b/>
          <w:sz w:val="28"/>
          <w:szCs w:val="28"/>
        </w:rPr>
        <w:t xml:space="preserve">F </w:t>
      </w:r>
      <w:r>
        <w:rPr>
          <w:rFonts w:ascii="黑体" w:hAnsi="黑体" w:eastAsia="黑体" w:cs="Arial"/>
          <w:b/>
          <w:sz w:val="28"/>
          <w:szCs w:val="28"/>
        </w:rPr>
        <w:t>××××-××××</w:t>
      </w:r>
    </w:p>
    <w:p w14:paraId="5987F3C8"/>
    <w:p w14:paraId="4FA031B2">
      <w:r>
        <mc:AlternateContent>
          <mc:Choice Requires="wps">
            <w:drawing>
              <wp:anchor distT="0" distB="0" distL="114300" distR="114300" simplePos="0" relativeHeight="251662336" behindDoc="0" locked="0" layoutInCell="1" allowOverlap="1">
                <wp:simplePos x="0" y="0"/>
                <wp:positionH relativeFrom="column">
                  <wp:posOffset>-6985</wp:posOffset>
                </wp:positionH>
                <wp:positionV relativeFrom="paragraph">
                  <wp:posOffset>118745</wp:posOffset>
                </wp:positionV>
                <wp:extent cx="5707380" cy="0"/>
                <wp:effectExtent l="0" t="0" r="0" b="0"/>
                <wp:wrapNone/>
                <wp:docPr id="29" name="Line 2"/>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55pt;margin-top:9.35pt;height:0pt;width:449.4pt;z-index:251662336;mso-width-relative:page;mso-height-relative:page;" filled="f" stroked="t" coordsize="21600,21600" o:gfxdata="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cBqPFNYAAAAIAQAADwAAAAAAAAABACAAAAAiAAAAZHJzL2Rv&#10;d25yZXYueG1sUEsBAhQAFAAAAAgAh07iQEc+pHPKAQAAoQMAAA4AAAAAAAAAAQAgAAAAJQEAAGRy&#10;cy9lMm9Eb2MueG1sUEsFBgAAAAAGAAYAWQEAAGEFAAAAAA==&#10;">
                <v:fill on="f" focussize="0,0"/>
                <v:stroke weight="1pt" color="#000000" joinstyle="round"/>
                <v:imagedata o:title=""/>
                <o:lock v:ext="edit" aspectratio="f"/>
              </v:line>
            </w:pict>
          </mc:Fallback>
        </mc:AlternateContent>
      </w:r>
    </w:p>
    <w:p w14:paraId="4F9F6509"/>
    <w:p w14:paraId="30F3EF46"/>
    <w:p w14:paraId="192F2494"/>
    <w:p w14:paraId="409AF491"/>
    <w:p w14:paraId="13A53E5D"/>
    <w:p w14:paraId="4556278A"/>
    <w:p w14:paraId="1537A3FD"/>
    <w:p w14:paraId="129AE5FF"/>
    <w:p w14:paraId="5B762D3E">
      <w:pPr>
        <w:jc w:val="center"/>
      </w:pPr>
      <w:r>
        <w:rPr>
          <w:rFonts w:hint="eastAsia" w:eastAsia="黑体"/>
          <w:sz w:val="52"/>
          <w:szCs w:val="20"/>
        </w:rPr>
        <w:t>2</w:t>
      </w:r>
      <w:r>
        <w:rPr>
          <w:rFonts w:eastAsia="黑体"/>
          <w:sz w:val="52"/>
          <w:szCs w:val="20"/>
        </w:rPr>
        <w:t>π</w:t>
      </w:r>
      <w:r>
        <w:rPr>
          <w:rFonts w:hint="eastAsia" w:eastAsia="黑体"/>
          <w:sz w:val="52"/>
          <w:szCs w:val="20"/>
        </w:rPr>
        <w:t>光通量计校准规范</w:t>
      </w:r>
    </w:p>
    <w:p w14:paraId="5FB299E9">
      <w:pPr>
        <w:jc w:val="center"/>
        <w:rPr>
          <w:rFonts w:ascii="黑体" w:hAnsi="黑体" w:eastAsia="黑体"/>
          <w:b/>
          <w:sz w:val="28"/>
          <w:szCs w:val="28"/>
        </w:rPr>
      </w:pPr>
    </w:p>
    <w:p w14:paraId="61C7592F">
      <w:pPr>
        <w:jc w:val="center"/>
        <w:rPr>
          <w:rFonts w:ascii="黑体" w:hAnsi="黑体" w:eastAsia="黑体"/>
          <w:b/>
          <w:sz w:val="28"/>
          <w:szCs w:val="28"/>
        </w:rPr>
      </w:pPr>
      <w:r>
        <w:rPr>
          <w:rFonts w:hint="eastAsia" w:ascii="黑体" w:hAnsi="黑体" w:eastAsia="黑体"/>
          <w:b/>
          <w:sz w:val="28"/>
          <w:szCs w:val="28"/>
        </w:rPr>
        <w:t xml:space="preserve"> Calibration Specification for 2π Luminous Flux Meter </w:t>
      </w:r>
    </w:p>
    <w:p w14:paraId="37B53C3D">
      <w:pPr>
        <w:rPr>
          <w:rFonts w:ascii="黑体" w:hAnsi="黑体" w:eastAsia="黑体"/>
          <w:sz w:val="28"/>
          <w:szCs w:val="28"/>
        </w:rPr>
      </w:pPr>
    </w:p>
    <w:p w14:paraId="3ED4B3AC">
      <w:pPr>
        <w:rPr>
          <w:rFonts w:ascii="黑体" w:hAnsi="黑体" w:eastAsia="黑体"/>
          <w:sz w:val="28"/>
          <w:szCs w:val="28"/>
        </w:rPr>
      </w:pPr>
    </w:p>
    <w:p w14:paraId="00FD9A37">
      <w:pPr>
        <w:jc w:val="center"/>
        <w:rPr>
          <w:rFonts w:asciiTheme="minorEastAsia" w:hAnsiTheme="minorEastAsia"/>
          <w:b/>
          <w:szCs w:val="28"/>
        </w:rPr>
      </w:pPr>
      <w:r>
        <w:rPr>
          <w:rFonts w:hint="eastAsia" w:asciiTheme="minorEastAsia" w:hAnsiTheme="minorEastAsia"/>
          <w:b/>
          <w:szCs w:val="28"/>
        </w:rPr>
        <w:t>征求意见稿</w:t>
      </w:r>
    </w:p>
    <w:p w14:paraId="1C11E375">
      <w:pPr>
        <w:jc w:val="center"/>
        <w:rPr>
          <w:rFonts w:asciiTheme="minorEastAsia" w:hAnsiTheme="minorEastAsia"/>
          <w:b/>
          <w:szCs w:val="28"/>
        </w:rPr>
      </w:pPr>
      <w:r>
        <w:rPr>
          <w:rFonts w:hint="eastAsia" w:asciiTheme="minorEastAsia" w:hAnsiTheme="minorEastAsia"/>
          <w:b/>
          <w:szCs w:val="28"/>
        </w:rPr>
        <w:t>（20</w:t>
      </w:r>
      <w:r>
        <w:rPr>
          <w:rFonts w:asciiTheme="minorEastAsia" w:hAnsiTheme="minorEastAsia"/>
          <w:b/>
          <w:szCs w:val="28"/>
        </w:rPr>
        <w:t>2</w:t>
      </w:r>
      <w:r>
        <w:rPr>
          <w:rFonts w:hint="eastAsia" w:asciiTheme="minorEastAsia" w:hAnsiTheme="minorEastAsia"/>
          <w:b/>
          <w:szCs w:val="28"/>
        </w:rPr>
        <w:t>5</w:t>
      </w:r>
      <w:r>
        <w:rPr>
          <w:rFonts w:asciiTheme="minorEastAsia" w:hAnsiTheme="minorEastAsia"/>
          <w:b/>
          <w:szCs w:val="28"/>
        </w:rPr>
        <w:t>.</w:t>
      </w:r>
      <w:r>
        <w:rPr>
          <w:rFonts w:hint="eastAsia" w:asciiTheme="minorEastAsia" w:hAnsiTheme="minorEastAsia"/>
          <w:b/>
          <w:szCs w:val="28"/>
          <w:lang w:val="en-US" w:eastAsia="zh-CN"/>
        </w:rPr>
        <w:t>10</w:t>
      </w:r>
      <w:r>
        <w:rPr>
          <w:rFonts w:hint="eastAsia" w:asciiTheme="minorEastAsia" w:hAnsiTheme="minorEastAsia"/>
          <w:b/>
          <w:szCs w:val="28"/>
        </w:rPr>
        <w:t>.</w:t>
      </w:r>
      <w:r>
        <w:rPr>
          <w:rFonts w:hint="eastAsia" w:asciiTheme="minorEastAsia" w:hAnsiTheme="minorEastAsia"/>
          <w:b/>
          <w:szCs w:val="28"/>
          <w:lang w:val="en-US" w:eastAsia="zh-CN"/>
        </w:rPr>
        <w:t>06</w:t>
      </w:r>
      <w:r>
        <w:rPr>
          <w:rFonts w:hint="eastAsia" w:asciiTheme="minorEastAsia" w:hAnsiTheme="minorEastAsia"/>
          <w:b/>
          <w:szCs w:val="28"/>
        </w:rPr>
        <w:t xml:space="preserve"> B0.</w:t>
      </w:r>
      <w:r>
        <w:rPr>
          <w:rFonts w:hint="eastAsia" w:asciiTheme="minorEastAsia" w:hAnsiTheme="minorEastAsia"/>
          <w:b/>
          <w:szCs w:val="28"/>
          <w:lang w:val="en-US" w:eastAsia="zh-CN"/>
        </w:rPr>
        <w:t>2</w:t>
      </w:r>
      <w:r>
        <w:rPr>
          <w:rFonts w:hint="eastAsia" w:asciiTheme="minorEastAsia" w:hAnsiTheme="minorEastAsia"/>
          <w:b/>
          <w:szCs w:val="28"/>
        </w:rPr>
        <w:t>）</w:t>
      </w:r>
    </w:p>
    <w:p w14:paraId="754FD12D"/>
    <w:p w14:paraId="1218903E">
      <w:pPr>
        <w:pStyle w:val="18"/>
        <w:ind w:firstLine="420"/>
      </w:pPr>
    </w:p>
    <w:p w14:paraId="53625125">
      <w:pPr>
        <w:pStyle w:val="18"/>
        <w:ind w:firstLine="420"/>
      </w:pPr>
    </w:p>
    <w:p w14:paraId="7DCFE23D"/>
    <w:p w14:paraId="2B272A49">
      <w:pPr>
        <w:pStyle w:val="18"/>
        <w:ind w:firstLine="420"/>
      </w:pPr>
    </w:p>
    <w:p w14:paraId="188DEA32"/>
    <w:p w14:paraId="175E3212"/>
    <w:p w14:paraId="13B38EF8">
      <w:pPr>
        <w:pStyle w:val="18"/>
        <w:ind w:firstLine="420"/>
      </w:pPr>
    </w:p>
    <w:p w14:paraId="6A807CEF">
      <w:pPr>
        <w:ind w:firstLine="240" w:firstLineChars="100"/>
        <w:rPr>
          <w:b/>
          <w:sz w:val="30"/>
          <w:szCs w:val="30"/>
        </w:rPr>
      </w:pPr>
      <w:r>
        <mc:AlternateContent>
          <mc:Choice Requires="wps">
            <w:drawing>
              <wp:anchor distT="0" distB="0" distL="114300" distR="114300" simplePos="0" relativeHeight="251661312" behindDoc="0" locked="0" layoutInCell="1" allowOverlap="1">
                <wp:simplePos x="0" y="0"/>
                <wp:positionH relativeFrom="column">
                  <wp:posOffset>-67945</wp:posOffset>
                </wp:positionH>
                <wp:positionV relativeFrom="paragraph">
                  <wp:posOffset>353060</wp:posOffset>
                </wp:positionV>
                <wp:extent cx="5707380" cy="0"/>
                <wp:effectExtent l="0" t="0" r="0" b="0"/>
                <wp:wrapNone/>
                <wp:docPr id="28" name="Line 3"/>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3" o:spid="_x0000_s1026" o:spt="20" style="position:absolute;left:0pt;margin-left:-5.35pt;margin-top:27.8pt;height:0pt;width:449.4pt;z-index:251661312;mso-width-relative:page;mso-height-relative:page;" filled="f" stroked="t" coordsize="21600,21600" o:gfxdata="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13fxE2AAAAAkBAAAPAAAAAAAAAAEAIAAAACIAAABkcnMv&#10;ZG93bnJldi54bWxQSwECFAAUAAAACACHTuJADhEpR8oBAAChAwAADgAAAAAAAAABACAAAAAnAQAA&#10;ZHJzL2Uyb0RvYy54bWxQSwUGAAAAAAYABgBZAQAAYwUAAAAA&#10;">
                <v:fill on="f" focussize="0,0"/>
                <v:stroke weight="1pt" color="#000000" joinstyle="round"/>
                <v:imagedata o:title=""/>
                <o:lock v:ext="edit" aspectratio="f"/>
              </v:line>
            </w:pict>
          </mc:Fallback>
        </mc:AlternateContent>
      </w:r>
      <w:r>
        <w:rPr>
          <w:b/>
          <w:sz w:val="30"/>
          <w:szCs w:val="30"/>
        </w:rPr>
        <w:t>××××</w:t>
      </w:r>
      <w:r>
        <w:rPr>
          <w:rFonts w:hint="eastAsia" w:ascii="宋体" w:hAnsi="宋体"/>
          <w:b/>
          <w:sz w:val="30"/>
          <w:szCs w:val="30"/>
        </w:rPr>
        <w:t>­</w:t>
      </w:r>
      <w:r>
        <w:rPr>
          <w:b/>
          <w:sz w:val="30"/>
          <w:szCs w:val="30"/>
        </w:rPr>
        <w:t>××</w:t>
      </w:r>
      <w:r>
        <w:rPr>
          <w:rFonts w:hint="eastAsia" w:ascii="宋体" w:hAnsi="宋体"/>
          <w:b/>
          <w:sz w:val="30"/>
          <w:szCs w:val="30"/>
        </w:rPr>
        <w:t>­</w:t>
      </w:r>
      <w:r>
        <w:rPr>
          <w:b/>
          <w:sz w:val="30"/>
          <w:szCs w:val="30"/>
        </w:rPr>
        <w:t>××</w:t>
      </w:r>
      <w:r>
        <w:rPr>
          <w:rFonts w:hint="eastAsia"/>
          <w:b/>
          <w:sz w:val="30"/>
          <w:szCs w:val="30"/>
        </w:rPr>
        <w:t xml:space="preserve">发布                         </w:t>
      </w:r>
      <w:r>
        <w:rPr>
          <w:b/>
          <w:sz w:val="30"/>
          <w:szCs w:val="30"/>
        </w:rPr>
        <w:t>××××</w:t>
      </w:r>
      <w:r>
        <w:rPr>
          <w:rFonts w:hint="eastAsia" w:ascii="宋体" w:hAnsi="宋体"/>
          <w:b/>
          <w:sz w:val="30"/>
          <w:szCs w:val="30"/>
        </w:rPr>
        <w:t>­</w:t>
      </w:r>
      <w:r>
        <w:rPr>
          <w:b/>
          <w:sz w:val="30"/>
          <w:szCs w:val="30"/>
        </w:rPr>
        <w:t>××</w:t>
      </w:r>
      <w:r>
        <w:rPr>
          <w:rFonts w:hint="eastAsia" w:ascii="宋体" w:hAnsi="宋体"/>
          <w:b/>
          <w:sz w:val="30"/>
          <w:szCs w:val="30"/>
        </w:rPr>
        <w:t>­</w:t>
      </w:r>
      <w:r>
        <w:rPr>
          <w:b/>
          <w:sz w:val="30"/>
          <w:szCs w:val="30"/>
        </w:rPr>
        <w:t>××</w:t>
      </w:r>
      <w:r>
        <w:rPr>
          <w:rFonts w:hint="eastAsia"/>
          <w:b/>
          <w:sz w:val="30"/>
          <w:szCs w:val="30"/>
        </w:rPr>
        <w:t>实施</w:t>
      </w:r>
    </w:p>
    <w:p w14:paraId="5E45C98B">
      <w:pPr>
        <w:rPr>
          <w:sz w:val="30"/>
          <w:szCs w:val="30"/>
        </w:rPr>
      </w:pPr>
    </w:p>
    <w:p w14:paraId="3651C8D7">
      <w:pPr>
        <w:pStyle w:val="17"/>
        <w:jc w:val="center"/>
        <w:rPr>
          <w:rFonts w:ascii="宋体" w:hAnsi="宋体" w:eastAsia="宋体"/>
          <w:sz w:val="28"/>
          <w:szCs w:val="28"/>
        </w:rPr>
        <w:sectPr>
          <w:headerReference r:id="rId4" w:type="first"/>
          <w:footerReference r:id="rId5" w:type="first"/>
          <w:headerReference r:id="rId3" w:type="even"/>
          <w:pgSz w:w="12240" w:h="15840"/>
          <w:pgMar w:top="1440" w:right="1800" w:bottom="1440" w:left="1800" w:header="720" w:footer="720" w:gutter="0"/>
          <w:cols w:space="720" w:num="1"/>
        </w:sectPr>
      </w:pPr>
      <w:r>
        <w:rPr>
          <w:rFonts w:hint="eastAsia" w:ascii="华文中宋" w:hAnsi="华文中宋" w:eastAsia="华文中宋"/>
          <w:sz w:val="44"/>
          <w:szCs w:val="44"/>
        </w:rPr>
        <w:t xml:space="preserve">国家市场监督管理总局 </w:t>
      </w:r>
      <w:r>
        <w:rPr>
          <w:rFonts w:hint="eastAsia" w:ascii="黑体" w:hAnsi="黑体" w:eastAsia="黑体"/>
          <w:b/>
          <w:sz w:val="28"/>
          <w:szCs w:val="28"/>
        </w:rPr>
        <w:t>发</w:t>
      </w:r>
      <w:r>
        <w:rPr>
          <w:rFonts w:ascii="黑体" w:hAnsi="黑体" w:eastAsia="黑体"/>
          <w:b/>
          <w:sz w:val="28"/>
          <w:szCs w:val="28"/>
        </w:rPr>
        <w:t xml:space="preserve"> </w:t>
      </w:r>
      <w:r>
        <w:rPr>
          <w:rFonts w:hint="eastAsia" w:ascii="黑体" w:hAnsi="黑体" w:eastAsia="黑体"/>
          <w:b/>
          <w:sz w:val="28"/>
          <w:szCs w:val="28"/>
        </w:rPr>
        <w:t>布</w:t>
      </w:r>
    </w:p>
    <w:p w14:paraId="7A92B6CB">
      <w:pPr>
        <w:pStyle w:val="17"/>
        <w:jc w:val="center"/>
        <w:rPr>
          <w:rFonts w:ascii="宋体" w:hAnsi="宋体" w:eastAsia="宋体"/>
          <w:sz w:val="28"/>
          <w:szCs w:val="28"/>
        </w:rPr>
        <w:sectPr>
          <w:type w:val="continuous"/>
          <w:pgSz w:w="12240" w:h="15840"/>
          <w:pgMar w:top="1440" w:right="1800" w:bottom="1440" w:left="1800" w:header="720" w:footer="720" w:gutter="0"/>
          <w:cols w:space="720" w:num="1"/>
        </w:sectPr>
      </w:pPr>
    </w:p>
    <w:p w14:paraId="697B9004">
      <w:pPr>
        <w:rPr>
          <w:rFonts w:ascii="黑体" w:eastAsia="黑体"/>
          <w:sz w:val="44"/>
          <w:szCs w:val="44"/>
        </w:rPr>
      </w:pPr>
    </w:p>
    <w:p w14:paraId="4450D679">
      <w:pPr>
        <w:jc w:val="center"/>
        <w:rPr>
          <w:rFonts w:ascii="黑体" w:eastAsia="黑体"/>
          <w:sz w:val="44"/>
          <w:szCs w:val="44"/>
        </w:rPr>
      </w:pPr>
      <w:r>
        <w:rPr>
          <w:rFonts w:ascii="黑体" w:eastAsia="黑体"/>
          <w:sz w:val="44"/>
          <w:szCs w:val="44"/>
        </w:rPr>
        <mc:AlternateContent>
          <mc:Choice Requires="wps">
            <w:drawing>
              <wp:anchor distT="0" distB="0" distL="114300" distR="114300" simplePos="0" relativeHeight="251664384" behindDoc="0" locked="0" layoutInCell="1" allowOverlap="1">
                <wp:simplePos x="0" y="0"/>
                <wp:positionH relativeFrom="column">
                  <wp:posOffset>3763645</wp:posOffset>
                </wp:positionH>
                <wp:positionV relativeFrom="paragraph">
                  <wp:posOffset>229870</wp:posOffset>
                </wp:positionV>
                <wp:extent cx="2174240" cy="1000125"/>
                <wp:effectExtent l="4445" t="4445" r="12065" b="5080"/>
                <wp:wrapNone/>
                <wp:docPr id="27" name="AutoShape 4"/>
                <wp:cNvGraphicFramePr/>
                <a:graphic xmlns:a="http://schemas.openxmlformats.org/drawingml/2006/main">
                  <a:graphicData uri="http://schemas.microsoft.com/office/word/2010/wordprocessingShape">
                    <wps:wsp>
                      <wps:cNvSpPr>
                        <a:spLocks noChangeArrowheads="1"/>
                      </wps:cNvSpPr>
                      <wps:spPr bwMode="auto">
                        <a:xfrm>
                          <a:off x="0" y="0"/>
                          <a:ext cx="2174240" cy="1000125"/>
                        </a:xfrm>
                        <a:prstGeom prst="roundRect">
                          <a:avLst>
                            <a:gd name="adj" fmla="val 16667"/>
                          </a:avLst>
                        </a:prstGeom>
                        <a:solidFill>
                          <a:srgbClr val="FFFFFF"/>
                        </a:solidFill>
                        <a:ln w="9525">
                          <a:solidFill>
                            <a:srgbClr val="000000"/>
                          </a:solidFill>
                          <a:prstDash val="dashDot"/>
                          <a:round/>
                        </a:ln>
                      </wps:spPr>
                      <wps:txbx>
                        <w:txbxContent>
                          <w:p w14:paraId="3E994AE0">
                            <w:pPr>
                              <w:rPr>
                                <w:rFonts w:ascii="Arial" w:hAnsi="Arial" w:cs="Arial"/>
                                <w:b/>
                              </w:rPr>
                            </w:pPr>
                          </w:p>
                          <w:p w14:paraId="19DA4E1E">
                            <w:pPr>
                              <w:rPr>
                                <w:rFonts w:ascii="Arial" w:hAnsi="Arial" w:cs="Arial"/>
                                <w:b/>
                              </w:rPr>
                            </w:pPr>
                          </w:p>
                          <w:p w14:paraId="66F38719">
                            <w:pPr>
                              <w:jc w:val="center"/>
                              <w:rPr>
                                <w:rFonts w:ascii="黑体" w:hAnsi="黑体" w:eastAsia="黑体"/>
                                <w:b/>
                                <w:sz w:val="28"/>
                                <w:szCs w:val="28"/>
                              </w:rPr>
                            </w:pPr>
                            <w:r>
                              <w:rPr>
                                <w:rFonts w:ascii="黑体" w:hAnsi="黑体" w:eastAsia="黑体" w:cs="Arial"/>
                                <w:b/>
                                <w:sz w:val="28"/>
                                <w:szCs w:val="28"/>
                              </w:rPr>
                              <w:t>JJ</w:t>
                            </w:r>
                            <w:r>
                              <w:rPr>
                                <w:rFonts w:hint="eastAsia" w:ascii="黑体" w:hAnsi="黑体" w:eastAsia="黑体" w:cs="Arial"/>
                                <w:b/>
                                <w:sz w:val="28"/>
                                <w:szCs w:val="28"/>
                              </w:rPr>
                              <w:t>G</w:t>
                            </w:r>
                            <w:r>
                              <w:rPr>
                                <w:rFonts w:ascii="黑体" w:hAnsi="黑体" w:eastAsia="黑体" w:cs="Arial"/>
                                <w:b/>
                                <w:sz w:val="28"/>
                                <w:szCs w:val="28"/>
                              </w:rPr>
                              <w:t xml:space="preserve"> </w:t>
                            </w:r>
                            <w:r>
                              <w:rPr>
                                <w:rFonts w:hint="eastAsia" w:ascii="黑体" w:hAnsi="黑体" w:eastAsia="黑体" w:cs="Arial"/>
                                <w:b/>
                                <w:sz w:val="28"/>
                                <w:szCs w:val="28"/>
                              </w:rPr>
                              <w:t>××××</w:t>
                            </w:r>
                            <w:r>
                              <w:rPr>
                                <w:rFonts w:ascii="黑体" w:hAnsi="黑体" w:eastAsia="黑体" w:cs="Arial"/>
                                <w:b/>
                                <w:sz w:val="28"/>
                                <w:szCs w:val="28"/>
                              </w:rPr>
                              <w:t>-××××</w:t>
                            </w:r>
                          </w:p>
                        </w:txbxContent>
                      </wps:txbx>
                      <wps:bodyPr rot="0" vert="horz" wrap="square" lIns="91440" tIns="45720" rIns="91440" bIns="45720" anchor="t" anchorCtr="0" upright="1">
                        <a:noAutofit/>
                      </wps:bodyPr>
                    </wps:wsp>
                  </a:graphicData>
                </a:graphic>
              </wp:anchor>
            </w:drawing>
          </mc:Choice>
          <mc:Fallback>
            <w:pict>
              <v:roundrect id="AutoShape 4" o:spid="_x0000_s1026" o:spt="2" style="position:absolute;left:0pt;margin-left:296.35pt;margin-top:18.1pt;height:78.75pt;width:171.2pt;z-index:251664384;mso-width-relative:page;mso-height-relative:page;" fillcolor="#FFFFFF" filled="t" stroked="t" coordsize="21600,21600" arcsize="0.166666666666667" o:gfxdata="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bZB2K2AAAAAoBAAAPAAAAAAAA&#10;AAEAIAAAACIAAABkcnMvZG93bnJldi54bWxQSwECFAAUAAAACACHTuJAiZzEc0sCAAC+BAAADgAA&#10;AAAAAAABACAAAAAnAQAAZHJzL2Uyb0RvYy54bWxQSwUGAAAAAAYABgBZAQAA5AUAAAAA&#10;">
                <v:fill on="t" focussize="0,0"/>
                <v:stroke color="#000000" joinstyle="round" dashstyle="dashDot"/>
                <v:imagedata o:title=""/>
                <o:lock v:ext="edit" aspectratio="f"/>
                <v:textbox>
                  <w:txbxContent>
                    <w:p w14:paraId="3E994AE0">
                      <w:pPr>
                        <w:rPr>
                          <w:rFonts w:ascii="Arial" w:hAnsi="Arial" w:cs="Arial"/>
                          <w:b/>
                        </w:rPr>
                      </w:pPr>
                    </w:p>
                    <w:p w14:paraId="19DA4E1E">
                      <w:pPr>
                        <w:rPr>
                          <w:rFonts w:ascii="Arial" w:hAnsi="Arial" w:cs="Arial"/>
                          <w:b/>
                        </w:rPr>
                      </w:pPr>
                    </w:p>
                    <w:p w14:paraId="66F38719">
                      <w:pPr>
                        <w:jc w:val="center"/>
                        <w:rPr>
                          <w:rFonts w:ascii="黑体" w:hAnsi="黑体" w:eastAsia="黑体"/>
                          <w:b/>
                          <w:sz w:val="28"/>
                          <w:szCs w:val="28"/>
                        </w:rPr>
                      </w:pPr>
                      <w:r>
                        <w:rPr>
                          <w:rFonts w:ascii="黑体" w:hAnsi="黑体" w:eastAsia="黑体" w:cs="Arial"/>
                          <w:b/>
                          <w:sz w:val="28"/>
                          <w:szCs w:val="28"/>
                        </w:rPr>
                        <w:t>JJ</w:t>
                      </w:r>
                      <w:r>
                        <w:rPr>
                          <w:rFonts w:hint="eastAsia" w:ascii="黑体" w:hAnsi="黑体" w:eastAsia="黑体" w:cs="Arial"/>
                          <w:b/>
                          <w:sz w:val="28"/>
                          <w:szCs w:val="28"/>
                        </w:rPr>
                        <w:t>G</w:t>
                      </w:r>
                      <w:r>
                        <w:rPr>
                          <w:rFonts w:ascii="黑体" w:hAnsi="黑体" w:eastAsia="黑体" w:cs="Arial"/>
                          <w:b/>
                          <w:sz w:val="28"/>
                          <w:szCs w:val="28"/>
                        </w:rPr>
                        <w:t xml:space="preserve"> </w:t>
                      </w:r>
                      <w:r>
                        <w:rPr>
                          <w:rFonts w:hint="eastAsia" w:ascii="黑体" w:hAnsi="黑体" w:eastAsia="黑体" w:cs="Arial"/>
                          <w:b/>
                          <w:sz w:val="28"/>
                          <w:szCs w:val="28"/>
                        </w:rPr>
                        <w:t>××××</w:t>
                      </w:r>
                      <w:r>
                        <w:rPr>
                          <w:rFonts w:ascii="黑体" w:hAnsi="黑体" w:eastAsia="黑体" w:cs="Arial"/>
                          <w:b/>
                          <w:sz w:val="28"/>
                          <w:szCs w:val="28"/>
                        </w:rPr>
                        <w:t>-××××</w:t>
                      </w:r>
                    </w:p>
                  </w:txbxContent>
                </v:textbox>
              </v:roundrect>
            </w:pict>
          </mc:Fallback>
        </mc:AlternateContent>
      </w:r>
    </w:p>
    <w:p w14:paraId="6C40C4CF">
      <w:pPr>
        <w:rPr>
          <w:rFonts w:ascii="黑体" w:eastAsia="黑体"/>
          <w:sz w:val="44"/>
          <w:szCs w:val="44"/>
        </w:rPr>
      </w:pPr>
      <w:r>
        <w:rPr>
          <w:rFonts w:hint="eastAsia" w:ascii="黑体" w:eastAsia="黑体"/>
          <w:sz w:val="44"/>
          <w:szCs w:val="44"/>
        </w:rPr>
        <w:t>2π光通量计校准规范</w:t>
      </w:r>
    </w:p>
    <w:p w14:paraId="0BCB25C6">
      <w:r>
        <w:t xml:space="preserve">                                                             </w:t>
      </w:r>
    </w:p>
    <w:p w14:paraId="0B74D80D">
      <w:pPr>
        <w:pStyle w:val="17"/>
        <w:spacing w:line="480" w:lineRule="auto"/>
        <w:rPr>
          <w:rFonts w:ascii="黑体" w:hAnsi="黑体" w:eastAsia="黑体"/>
          <w:b/>
          <w:sz w:val="28"/>
          <w:szCs w:val="28"/>
        </w:rPr>
      </w:pPr>
      <w:r>
        <w:rPr>
          <w:rFonts w:hint="eastAsia" w:ascii="黑体" w:hAnsi="黑体" w:eastAsia="黑体"/>
          <w:b/>
          <w:sz w:val="28"/>
          <w:szCs w:val="28"/>
        </w:rPr>
        <w:t xml:space="preserve">Calibration Specification for </w:t>
      </w:r>
    </w:p>
    <w:p w14:paraId="1C912A44">
      <w:pPr>
        <w:pStyle w:val="17"/>
        <w:spacing w:line="480" w:lineRule="auto"/>
        <w:rPr>
          <w:rFonts w:ascii="黑体" w:hAnsi="黑体" w:eastAsia="黑体"/>
          <w:b/>
          <w:sz w:val="28"/>
          <w:szCs w:val="28"/>
        </w:rPr>
      </w:pPr>
      <w:r>
        <w:rPr>
          <w:rFonts w:hint="eastAsia" w:ascii="黑体" w:hAnsi="黑体" w:eastAsia="黑体"/>
          <w:b/>
          <w:sz w:val="28"/>
          <w:szCs w:val="28"/>
        </w:rPr>
        <w:t xml:space="preserve">2π Luminous Flux Meter  </w:t>
      </w:r>
    </w:p>
    <w:p w14:paraId="080F2762">
      <w:pPr>
        <w:rPr>
          <w:sz w:val="30"/>
          <w:szCs w:val="30"/>
        </w:rPr>
      </w:pPr>
      <w:r>
        <w:rPr>
          <w:sz w:val="30"/>
          <w:szCs w:val="30"/>
        </w:rPr>
        <mc:AlternateContent>
          <mc:Choice Requires="wps">
            <w:drawing>
              <wp:anchor distT="0" distB="0" distL="114300" distR="114300" simplePos="0" relativeHeight="251663360" behindDoc="0" locked="0" layoutInCell="1" allowOverlap="1">
                <wp:simplePos x="0" y="0"/>
                <wp:positionH relativeFrom="column">
                  <wp:posOffset>-163195</wp:posOffset>
                </wp:positionH>
                <wp:positionV relativeFrom="paragraph">
                  <wp:posOffset>154940</wp:posOffset>
                </wp:positionV>
                <wp:extent cx="5707380" cy="0"/>
                <wp:effectExtent l="0" t="0" r="0" b="0"/>
                <wp:wrapNone/>
                <wp:docPr id="26" name="Line 5"/>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5" o:spid="_x0000_s1026" o:spt="20" style="position:absolute;left:0pt;margin-left:-12.85pt;margin-top:12.2pt;height:0pt;width:449.4pt;z-index:251663360;mso-width-relative:page;mso-height-relative:page;" filled="f" stroked="t" coordsize="21600,21600" o:gfxdata="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YLzzI2AAAAAkBAAAPAAAAAAAAAAEAIAAAACIAAABkcnMv&#10;ZG93bnJldi54bWxQSwECFAAUAAAACACHTuJAWkXs7soBAAChAwAADgAAAAAAAAABACAAAAAnAQAA&#10;ZHJzL2Uyb0RvYy54bWxQSwUGAAAAAAYABgBZAQAAYwUAAAAA&#10;">
                <v:fill on="f" focussize="0,0"/>
                <v:stroke weight="1pt" color="#000000" joinstyle="round"/>
                <v:imagedata o:title=""/>
                <o:lock v:ext="edit" aspectratio="f"/>
              </v:line>
            </w:pict>
          </mc:Fallback>
        </mc:AlternateContent>
      </w:r>
    </w:p>
    <w:p w14:paraId="48668250">
      <w:pPr>
        <w:spacing w:line="360" w:lineRule="auto"/>
        <w:rPr>
          <w:sz w:val="30"/>
          <w:szCs w:val="30"/>
        </w:rPr>
      </w:pPr>
    </w:p>
    <w:p w14:paraId="1FA21B3E">
      <w:pPr>
        <w:pStyle w:val="17"/>
        <w:ind w:firstLine="560"/>
        <w:rPr>
          <w:rFonts w:ascii="宋体" w:hAnsi="宋体" w:eastAsia="宋体"/>
          <w:snapToGrid w:val="0"/>
          <w:sz w:val="28"/>
          <w:szCs w:val="28"/>
        </w:rPr>
      </w:pPr>
    </w:p>
    <w:p w14:paraId="28FBEDBF">
      <w:pPr>
        <w:pStyle w:val="17"/>
        <w:ind w:firstLine="560"/>
        <w:rPr>
          <w:rFonts w:ascii="宋体" w:hAnsi="宋体" w:eastAsia="宋体"/>
          <w:snapToGrid w:val="0"/>
          <w:sz w:val="28"/>
          <w:szCs w:val="28"/>
        </w:rPr>
      </w:pPr>
    </w:p>
    <w:p w14:paraId="63DC7228">
      <w:pPr>
        <w:pStyle w:val="17"/>
        <w:rPr>
          <w:rFonts w:ascii="宋体" w:hAnsi="宋体" w:eastAsia="宋体"/>
          <w:snapToGrid w:val="0"/>
          <w:sz w:val="28"/>
          <w:szCs w:val="28"/>
        </w:rPr>
      </w:pPr>
    </w:p>
    <w:p w14:paraId="1B144419">
      <w:pPr>
        <w:pStyle w:val="17"/>
        <w:ind w:firstLine="560"/>
        <w:rPr>
          <w:rFonts w:ascii="宋体" w:hAnsi="宋体" w:eastAsia="宋体"/>
          <w:snapToGrid w:val="0"/>
          <w:sz w:val="28"/>
          <w:szCs w:val="28"/>
        </w:rPr>
      </w:pPr>
    </w:p>
    <w:p w14:paraId="73852535">
      <w:pPr>
        <w:pStyle w:val="17"/>
        <w:ind w:firstLine="560"/>
        <w:rPr>
          <w:rFonts w:ascii="宋体" w:hAnsi="宋体" w:eastAsia="宋体"/>
          <w:snapToGrid w:val="0"/>
          <w:sz w:val="28"/>
          <w:szCs w:val="28"/>
        </w:rPr>
      </w:pPr>
    </w:p>
    <w:p w14:paraId="55F14FF3">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 xml:space="preserve"> </w:t>
      </w:r>
      <w:r>
        <w:rPr>
          <w:rFonts w:hint="eastAsia" w:ascii="宋体" w:cs="宋体"/>
          <w:kern w:val="0"/>
          <w:sz w:val="28"/>
          <w:szCs w:val="28"/>
        </w:rPr>
        <w:t>：全国光学计量技术委员会</w:t>
      </w:r>
    </w:p>
    <w:p w14:paraId="2594F41F">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 xml:space="preserve"> </w:t>
      </w:r>
      <w:r>
        <w:rPr>
          <w:rFonts w:hint="eastAsia" w:ascii="宋体" w:cs="宋体"/>
          <w:kern w:val="0"/>
          <w:sz w:val="28"/>
          <w:szCs w:val="28"/>
        </w:rPr>
        <w:t>：中国计量科学研究院</w:t>
      </w:r>
    </w:p>
    <w:p w14:paraId="5E6610BE">
      <w:pPr>
        <w:autoSpaceDE w:val="0"/>
        <w:autoSpaceDN w:val="0"/>
        <w:adjustRightInd w:val="0"/>
        <w:spacing w:line="360" w:lineRule="auto"/>
        <w:ind w:firstLine="3329" w:firstLineChars="1189"/>
        <w:rPr>
          <w:rFonts w:ascii="宋体" w:cs="宋体"/>
          <w:kern w:val="0"/>
          <w:sz w:val="28"/>
          <w:szCs w:val="28"/>
        </w:rPr>
      </w:pPr>
      <w:r>
        <w:rPr>
          <w:rFonts w:hint="eastAsia" w:ascii="宋体" w:cs="宋体"/>
          <w:kern w:val="0"/>
          <w:sz w:val="28"/>
          <w:szCs w:val="28"/>
        </w:rPr>
        <w:t>苏州市计量测试院</w:t>
      </w:r>
    </w:p>
    <w:p w14:paraId="0C9D2DCE">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参加起草单位</w:t>
      </w:r>
      <w:r>
        <w:rPr>
          <w:rFonts w:ascii="黑体" w:eastAsia="黑体" w:cs="黑体"/>
          <w:kern w:val="0"/>
          <w:sz w:val="28"/>
          <w:szCs w:val="28"/>
        </w:rPr>
        <w:t xml:space="preserve"> </w:t>
      </w:r>
      <w:r>
        <w:rPr>
          <w:rFonts w:hint="eastAsia" w:ascii="宋体" w:cs="宋体"/>
          <w:kern w:val="0"/>
          <w:sz w:val="28"/>
          <w:szCs w:val="28"/>
        </w:rPr>
        <w:t>：中国计量科学研究院</w:t>
      </w:r>
    </w:p>
    <w:p w14:paraId="04F2F714">
      <w:pPr>
        <w:autoSpaceDE w:val="0"/>
        <w:autoSpaceDN w:val="0"/>
        <w:adjustRightInd w:val="0"/>
        <w:spacing w:line="360" w:lineRule="auto"/>
        <w:ind w:firstLine="3360" w:firstLineChars="1200"/>
        <w:rPr>
          <w:rFonts w:ascii="宋体" w:cs="宋体"/>
          <w:kern w:val="0"/>
          <w:sz w:val="28"/>
          <w:szCs w:val="28"/>
        </w:rPr>
      </w:pPr>
      <w:r>
        <w:rPr>
          <w:rFonts w:hint="eastAsia"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ab/>
      </w:r>
    </w:p>
    <w:p w14:paraId="77FD796D">
      <w:pPr>
        <w:autoSpaceDE w:val="0"/>
        <w:autoSpaceDN w:val="0"/>
        <w:adjustRightInd w:val="0"/>
        <w:spacing w:line="360" w:lineRule="auto"/>
        <w:ind w:firstLine="3360" w:firstLineChars="1200"/>
        <w:rPr>
          <w:rFonts w:ascii="宋体" w:cs="宋体"/>
          <w:kern w:val="0"/>
          <w:sz w:val="28"/>
          <w:szCs w:val="28"/>
        </w:rPr>
      </w:pPr>
    </w:p>
    <w:p w14:paraId="52284F85">
      <w:pPr>
        <w:autoSpaceDE w:val="0"/>
        <w:autoSpaceDN w:val="0"/>
        <w:adjustRightInd w:val="0"/>
        <w:spacing w:line="360" w:lineRule="auto"/>
        <w:ind w:firstLine="1260" w:firstLineChars="450"/>
        <w:rPr>
          <w:rFonts w:ascii="宋体" w:cs="宋体"/>
          <w:kern w:val="0"/>
          <w:sz w:val="28"/>
          <w:szCs w:val="28"/>
        </w:rPr>
      </w:pPr>
    </w:p>
    <w:p w14:paraId="6F7F8425">
      <w:pPr>
        <w:autoSpaceDE w:val="0"/>
        <w:autoSpaceDN w:val="0"/>
        <w:adjustRightInd w:val="0"/>
        <w:spacing w:line="360" w:lineRule="auto"/>
        <w:ind w:firstLine="1260" w:firstLineChars="450"/>
        <w:rPr>
          <w:rFonts w:ascii="宋体" w:cs="宋体"/>
          <w:kern w:val="0"/>
          <w:sz w:val="28"/>
          <w:szCs w:val="28"/>
        </w:rPr>
      </w:pPr>
    </w:p>
    <w:p w14:paraId="09FD6FB0">
      <w:pPr>
        <w:autoSpaceDE w:val="0"/>
        <w:autoSpaceDN w:val="0"/>
        <w:adjustRightInd w:val="0"/>
        <w:spacing w:line="360" w:lineRule="auto"/>
        <w:ind w:firstLine="1260" w:firstLineChars="450"/>
        <w:rPr>
          <w:rFonts w:ascii="宋体" w:cs="宋体"/>
          <w:kern w:val="0"/>
          <w:sz w:val="28"/>
          <w:szCs w:val="28"/>
        </w:rPr>
      </w:pPr>
      <w:r>
        <w:rPr>
          <w:rFonts w:hint="eastAsia" w:ascii="宋体" w:cs="宋体"/>
          <w:kern w:val="0"/>
          <w:sz w:val="28"/>
          <w:szCs w:val="28"/>
        </w:rPr>
        <w:t xml:space="preserve">    </w:t>
      </w:r>
    </w:p>
    <w:p w14:paraId="5AB26A4F">
      <w:pPr>
        <w:autoSpaceDE w:val="0"/>
        <w:autoSpaceDN w:val="0"/>
        <w:adjustRightInd w:val="0"/>
        <w:spacing w:line="360" w:lineRule="auto"/>
        <w:ind w:firstLine="1260" w:firstLineChars="450"/>
        <w:rPr>
          <w:rFonts w:ascii="宋体" w:cs="宋体"/>
          <w:kern w:val="0"/>
          <w:sz w:val="28"/>
          <w:szCs w:val="28"/>
        </w:rPr>
      </w:pPr>
    </w:p>
    <w:p w14:paraId="09A53B75">
      <w:pPr>
        <w:pStyle w:val="17"/>
        <w:jc w:val="center"/>
        <w:rPr>
          <w:rFonts w:ascii="宋体" w:hAnsi="宋体" w:eastAsia="宋体"/>
          <w:sz w:val="28"/>
          <w:szCs w:val="28"/>
        </w:rPr>
        <w:sectPr>
          <w:headerReference r:id="rId8" w:type="first"/>
          <w:footerReference r:id="rId11" w:type="first"/>
          <w:headerReference r:id="rId6" w:type="default"/>
          <w:footerReference r:id="rId9" w:type="default"/>
          <w:headerReference r:id="rId7" w:type="even"/>
          <w:footerReference r:id="rId10" w:type="even"/>
          <w:pgSz w:w="12240" w:h="15840"/>
          <w:pgMar w:top="1440" w:right="1800" w:bottom="1440" w:left="1800" w:header="720" w:footer="720" w:gutter="0"/>
          <w:pgNumType w:start="1"/>
          <w:cols w:space="720" w:num="1"/>
          <w:titlePg/>
          <w:docGrid w:linePitch="326" w:charSpace="0"/>
        </w:sectPr>
      </w:pPr>
      <w:r>
        <w:rPr>
          <w:rFonts w:hint="eastAsia" w:ascii="宋体" w:hAnsi="宋体" w:eastAsia="宋体"/>
          <w:sz w:val="28"/>
          <w:szCs w:val="28"/>
        </w:rPr>
        <w:t>本规范委托全国光学计量技术委员会负责解释</w:t>
      </w:r>
    </w:p>
    <w:p w14:paraId="22E6BA6B">
      <w:pPr>
        <w:spacing w:line="480" w:lineRule="auto"/>
        <w:rPr>
          <w:rFonts w:eastAsia="宋体"/>
          <w:b/>
          <w:sz w:val="28"/>
          <w:szCs w:val="28"/>
        </w:rPr>
      </w:pPr>
    </w:p>
    <w:p w14:paraId="088A5638">
      <w:pPr>
        <w:spacing w:line="480" w:lineRule="auto"/>
        <w:rPr>
          <w:rFonts w:eastAsia="宋体"/>
          <w:b/>
          <w:sz w:val="28"/>
          <w:szCs w:val="28"/>
        </w:rPr>
      </w:pPr>
      <w:r>
        <w:rPr>
          <w:rFonts w:eastAsia="宋体"/>
          <w:b/>
          <w:sz w:val="28"/>
          <w:szCs w:val="28"/>
        </w:rPr>
        <w:t>本</w:t>
      </w:r>
      <w:r>
        <w:rPr>
          <w:rFonts w:hint="eastAsia" w:eastAsia="宋体"/>
          <w:b/>
          <w:sz w:val="28"/>
          <w:szCs w:val="28"/>
        </w:rPr>
        <w:t>规程</w:t>
      </w:r>
      <w:r>
        <w:rPr>
          <w:rFonts w:eastAsia="宋体"/>
          <w:b/>
          <w:sz w:val="28"/>
          <w:szCs w:val="28"/>
        </w:rPr>
        <w:t>主要起草人：</w:t>
      </w:r>
    </w:p>
    <w:p w14:paraId="3E1A506D">
      <w:pPr>
        <w:spacing w:line="480" w:lineRule="auto"/>
        <w:ind w:firstLine="1377" w:firstLineChars="492"/>
        <w:rPr>
          <w:rFonts w:eastAsia="宋体"/>
          <w:sz w:val="28"/>
          <w:szCs w:val="28"/>
        </w:rPr>
      </w:pPr>
      <w:bookmarkStart w:id="45" w:name="_GoBack"/>
      <w:r>
        <w:rPr>
          <w:rFonts w:hint="eastAsia" w:eastAsia="宋体"/>
          <w:sz w:val="28"/>
          <w:szCs w:val="28"/>
        </w:rPr>
        <w:t>赵伟强（中国计量科学研究院）</w:t>
      </w:r>
    </w:p>
    <w:p w14:paraId="128C3447">
      <w:pPr>
        <w:spacing w:line="480" w:lineRule="auto"/>
        <w:ind w:firstLine="1377" w:firstLineChars="492"/>
        <w:rPr>
          <w:rFonts w:eastAsia="宋体"/>
          <w:sz w:val="28"/>
          <w:szCs w:val="28"/>
        </w:rPr>
      </w:pPr>
      <w:r>
        <w:rPr>
          <w:rFonts w:hint="eastAsia" w:eastAsia="宋体"/>
          <w:sz w:val="28"/>
          <w:szCs w:val="28"/>
        </w:rPr>
        <w:t>刘宏欣（苏州市计量测试院）</w:t>
      </w:r>
    </w:p>
    <w:p w14:paraId="27BE30A1">
      <w:pPr>
        <w:spacing w:line="480" w:lineRule="auto"/>
        <w:ind w:firstLine="1377" w:firstLineChars="492"/>
        <w:rPr>
          <w:rFonts w:eastAsia="宋体"/>
          <w:sz w:val="28"/>
          <w:szCs w:val="28"/>
        </w:rPr>
      </w:pPr>
      <w:r>
        <w:rPr>
          <w:rFonts w:hint="eastAsia" w:eastAsia="宋体"/>
          <w:sz w:val="28"/>
          <w:szCs w:val="28"/>
        </w:rPr>
        <w:t>闫劲云（中国计量科学研究院）</w:t>
      </w:r>
      <w:bookmarkEnd w:id="45"/>
    </w:p>
    <w:p w14:paraId="465C6A1A">
      <w:pPr>
        <w:rPr>
          <w:rFonts w:eastAsia="宋体"/>
          <w:b/>
          <w:sz w:val="28"/>
          <w:szCs w:val="28"/>
        </w:rPr>
      </w:pPr>
      <w:r>
        <w:rPr>
          <w:rFonts w:eastAsia="宋体"/>
          <w:b/>
          <w:sz w:val="28"/>
          <w:szCs w:val="28"/>
        </w:rPr>
        <w:t>参加起草人：</w:t>
      </w:r>
    </w:p>
    <w:p w14:paraId="625F4A93">
      <w:pPr>
        <w:spacing w:line="480" w:lineRule="auto"/>
        <w:ind w:firstLine="1377" w:firstLineChars="492"/>
        <w:rPr>
          <w:rFonts w:eastAsia="宋体"/>
          <w:sz w:val="28"/>
          <w:szCs w:val="28"/>
        </w:rPr>
      </w:pPr>
      <w:r>
        <w:rPr>
          <w:rFonts w:hint="eastAsia" w:eastAsia="宋体"/>
          <w:sz w:val="28"/>
          <w:szCs w:val="28"/>
        </w:rPr>
        <w:t>刘  慧（中国计量科学研究院）</w:t>
      </w:r>
    </w:p>
    <w:p w14:paraId="7CBCCF27">
      <w:pPr>
        <w:widowControl/>
        <w:jc w:val="left"/>
      </w:pPr>
      <w:r>
        <w:br w:type="page"/>
      </w:r>
    </w:p>
    <w:p w14:paraId="7263FEA1">
      <w:pPr>
        <w:autoSpaceDE w:val="0"/>
        <w:autoSpaceDN w:val="0"/>
        <w:adjustRightInd w:val="0"/>
        <w:spacing w:line="360" w:lineRule="auto"/>
        <w:ind w:left="1416" w:leftChars="590"/>
        <w:sectPr>
          <w:headerReference r:id="rId13" w:type="first"/>
          <w:footerReference r:id="rId15" w:type="first"/>
          <w:headerReference r:id="rId12" w:type="default"/>
          <w:footerReference r:id="rId14" w:type="default"/>
          <w:pgSz w:w="11906" w:h="16838"/>
          <w:pgMar w:top="1440" w:right="1800" w:bottom="1440" w:left="1800" w:header="851" w:footer="992" w:gutter="0"/>
          <w:pgNumType w:fmt="upperRoman" w:start="1"/>
          <w:cols w:space="425" w:num="1"/>
          <w:titlePg/>
          <w:docGrid w:type="lines" w:linePitch="326" w:charSpace="0"/>
        </w:sectPr>
      </w:pPr>
    </w:p>
    <w:p w14:paraId="012C6340">
      <w:pPr>
        <w:autoSpaceDE w:val="0"/>
        <w:autoSpaceDN w:val="0"/>
        <w:adjustRightInd w:val="0"/>
        <w:spacing w:line="360" w:lineRule="auto"/>
        <w:ind w:left="1416" w:leftChars="590"/>
      </w:pPr>
    </w:p>
    <w:p w14:paraId="1EE82C00">
      <w:pPr>
        <w:pStyle w:val="9"/>
        <w:tabs>
          <w:tab w:val="right" w:leader="dot" w:pos="8636"/>
        </w:tabs>
        <w:jc w:val="center"/>
      </w:pPr>
      <w:r>
        <w:rPr>
          <w:rFonts w:hint="eastAsia" w:ascii="黑体" w:eastAsia="黑体"/>
          <w:sz w:val="44"/>
          <w:szCs w:val="44"/>
        </w:rPr>
        <w:t>目  录</w:t>
      </w:r>
    </w:p>
    <w:p w14:paraId="4BECB3BF">
      <w:pPr>
        <w:pStyle w:val="9"/>
        <w:tabs>
          <w:tab w:val="right" w:leader="dot" w:pos="8636"/>
        </w:tabs>
        <w:rPr>
          <w:rFonts w:hAnsi="宋体"/>
          <w:color w:val="D9D9D9" w:themeColor="background1" w:themeShade="D9"/>
          <w:sz w:val="24"/>
          <w:szCs w:val="24"/>
          <w:highlight w:val="yellow"/>
        </w:rPr>
      </w:pPr>
    </w:p>
    <w:p w14:paraId="52B8911F">
      <w:pPr>
        <w:pStyle w:val="9"/>
        <w:tabs>
          <w:tab w:val="right" w:leader="dot" w:pos="8306"/>
        </w:tabs>
      </w:pPr>
      <w:r>
        <w:rPr>
          <w:rFonts w:asciiTheme="minorEastAsia" w:hAnsiTheme="minorEastAsia" w:eastAsiaTheme="minorEastAsia"/>
          <w:color w:val="D9D9D9" w:themeColor="background1" w:themeShade="D9"/>
          <w:sz w:val="24"/>
          <w:szCs w:val="24"/>
        </w:rPr>
        <w:fldChar w:fldCharType="begin"/>
      </w:r>
      <w:r>
        <w:rPr>
          <w:rFonts w:asciiTheme="minorEastAsia" w:hAnsiTheme="minorEastAsia" w:eastAsiaTheme="minorEastAsia"/>
          <w:color w:val="D9D9D9" w:themeColor="background1" w:themeShade="D9"/>
          <w:sz w:val="24"/>
          <w:szCs w:val="24"/>
        </w:rPr>
        <w:instrText xml:space="preserve"> TOC \o "1-3" \h \z \u </w:instrText>
      </w:r>
      <w:r>
        <w:rPr>
          <w:rFonts w:asciiTheme="minorEastAsia" w:hAnsiTheme="minorEastAsia" w:eastAsiaTheme="minorEastAsia"/>
          <w:color w:val="D9D9D9" w:themeColor="background1" w:themeShade="D9"/>
          <w:sz w:val="24"/>
          <w:szCs w:val="24"/>
        </w:rPr>
        <w:fldChar w:fldCharType="separate"/>
      </w:r>
      <w:r>
        <w:fldChar w:fldCharType="begin"/>
      </w:r>
      <w:r>
        <w:instrText xml:space="preserve"> HYPERLINK \l "_Toc12261" </w:instrText>
      </w:r>
      <w:r>
        <w:fldChar w:fldCharType="separate"/>
      </w:r>
      <w:r>
        <w:rPr>
          <w:rFonts w:hint="eastAsia" w:hAnsi="宋体"/>
          <w:szCs w:val="44"/>
        </w:rPr>
        <w:t>引</w:t>
      </w:r>
      <w:r>
        <w:rPr>
          <w:rFonts w:ascii="Times New Roman"/>
          <w:szCs w:val="44"/>
        </w:rPr>
        <w:t xml:space="preserve"> </w:t>
      </w:r>
      <w:r>
        <w:rPr>
          <w:rFonts w:hint="eastAsia" w:ascii="Times New Roman"/>
          <w:szCs w:val="44"/>
        </w:rPr>
        <w:t>言</w:t>
      </w:r>
      <w:r>
        <w:tab/>
      </w:r>
      <w:r>
        <w:fldChar w:fldCharType="begin"/>
      </w:r>
      <w:r>
        <w:instrText xml:space="preserve"> PAGEREF _Toc12261 \h </w:instrText>
      </w:r>
      <w:r>
        <w:fldChar w:fldCharType="separate"/>
      </w:r>
      <w:r>
        <w:t>II</w:t>
      </w:r>
      <w:r>
        <w:fldChar w:fldCharType="end"/>
      </w:r>
      <w:r>
        <w:fldChar w:fldCharType="end"/>
      </w:r>
    </w:p>
    <w:p w14:paraId="0DA4359F">
      <w:pPr>
        <w:pStyle w:val="9"/>
        <w:tabs>
          <w:tab w:val="right" w:leader="dot" w:pos="8306"/>
        </w:tabs>
      </w:pPr>
      <w:r>
        <w:fldChar w:fldCharType="begin"/>
      </w:r>
      <w:r>
        <w:instrText xml:space="preserve"> HYPERLINK \l "_Toc14204" </w:instrText>
      </w:r>
      <w:r>
        <w:fldChar w:fldCharType="separate"/>
      </w:r>
      <w:r>
        <w:t xml:space="preserve">1  </w:t>
      </w:r>
      <w:r>
        <w:rPr>
          <w:rFonts w:hint="eastAsia"/>
        </w:rPr>
        <w:t>范围</w:t>
      </w:r>
      <w:r>
        <w:tab/>
      </w:r>
      <w:r>
        <w:fldChar w:fldCharType="begin"/>
      </w:r>
      <w:r>
        <w:instrText xml:space="preserve"> PAGEREF _Toc14204 \h </w:instrText>
      </w:r>
      <w:r>
        <w:fldChar w:fldCharType="separate"/>
      </w:r>
      <w:r>
        <w:t>1</w:t>
      </w:r>
      <w:r>
        <w:fldChar w:fldCharType="end"/>
      </w:r>
      <w:r>
        <w:fldChar w:fldCharType="end"/>
      </w:r>
    </w:p>
    <w:p w14:paraId="6FA9C2B1">
      <w:pPr>
        <w:pStyle w:val="9"/>
        <w:tabs>
          <w:tab w:val="right" w:leader="dot" w:pos="8306"/>
        </w:tabs>
      </w:pPr>
      <w:r>
        <w:fldChar w:fldCharType="begin"/>
      </w:r>
      <w:r>
        <w:instrText xml:space="preserve"> HYPERLINK \l "_Toc22470" </w:instrText>
      </w:r>
      <w:r>
        <w:fldChar w:fldCharType="separate"/>
      </w:r>
      <w:r>
        <w:rPr>
          <w:rFonts w:hint="eastAsia"/>
        </w:rPr>
        <w:t>2</w:t>
      </w:r>
      <w:r>
        <w:t xml:space="preserve">  </w:t>
      </w:r>
      <w:r>
        <w:rPr>
          <w:rFonts w:hint="eastAsia"/>
        </w:rPr>
        <w:t>引用文件</w:t>
      </w:r>
      <w:r>
        <w:tab/>
      </w:r>
      <w:r>
        <w:fldChar w:fldCharType="begin"/>
      </w:r>
      <w:r>
        <w:instrText xml:space="preserve"> PAGEREF _Toc22470 \h </w:instrText>
      </w:r>
      <w:r>
        <w:fldChar w:fldCharType="separate"/>
      </w:r>
      <w:r>
        <w:t>1</w:t>
      </w:r>
      <w:r>
        <w:fldChar w:fldCharType="end"/>
      </w:r>
      <w:r>
        <w:fldChar w:fldCharType="end"/>
      </w:r>
    </w:p>
    <w:p w14:paraId="5E9EE767">
      <w:pPr>
        <w:pStyle w:val="9"/>
        <w:tabs>
          <w:tab w:val="right" w:leader="dot" w:pos="8306"/>
        </w:tabs>
      </w:pPr>
      <w:r>
        <w:fldChar w:fldCharType="begin"/>
      </w:r>
      <w:r>
        <w:instrText xml:space="preserve"> HYPERLINK \l "_Toc10537" </w:instrText>
      </w:r>
      <w:r>
        <w:fldChar w:fldCharType="separate"/>
      </w:r>
      <w:r>
        <w:rPr>
          <w:rFonts w:hint="eastAsia"/>
        </w:rPr>
        <w:t>3</w:t>
      </w:r>
      <w:r>
        <w:t xml:space="preserve"> </w:t>
      </w:r>
      <w:r>
        <w:rPr>
          <w:rFonts w:hint="eastAsia"/>
        </w:rPr>
        <w:t xml:space="preserve"> 术语</w:t>
      </w:r>
      <w:r>
        <w:tab/>
      </w:r>
      <w:r>
        <w:fldChar w:fldCharType="begin"/>
      </w:r>
      <w:r>
        <w:instrText xml:space="preserve"> PAGEREF _Toc10537 \h </w:instrText>
      </w:r>
      <w:r>
        <w:fldChar w:fldCharType="separate"/>
      </w:r>
      <w:r>
        <w:t>1</w:t>
      </w:r>
      <w:r>
        <w:fldChar w:fldCharType="end"/>
      </w:r>
      <w:r>
        <w:fldChar w:fldCharType="end"/>
      </w:r>
    </w:p>
    <w:p w14:paraId="112031DD">
      <w:pPr>
        <w:pStyle w:val="9"/>
        <w:tabs>
          <w:tab w:val="right" w:leader="dot" w:pos="8306"/>
        </w:tabs>
      </w:pPr>
      <w:r>
        <w:fldChar w:fldCharType="begin"/>
      </w:r>
      <w:r>
        <w:instrText xml:space="preserve"> HYPERLINK \l "_Toc22504" </w:instrText>
      </w:r>
      <w:r>
        <w:fldChar w:fldCharType="separate"/>
      </w:r>
      <w:r>
        <w:rPr>
          <w:rFonts w:hint="eastAsia"/>
        </w:rPr>
        <w:t>4  概述</w:t>
      </w:r>
      <w:r>
        <w:tab/>
      </w:r>
      <w:r>
        <w:fldChar w:fldCharType="begin"/>
      </w:r>
      <w:r>
        <w:instrText xml:space="preserve"> PAGEREF _Toc22504 \h </w:instrText>
      </w:r>
      <w:r>
        <w:fldChar w:fldCharType="separate"/>
      </w:r>
      <w:r>
        <w:t>1</w:t>
      </w:r>
      <w:r>
        <w:fldChar w:fldCharType="end"/>
      </w:r>
      <w:r>
        <w:fldChar w:fldCharType="end"/>
      </w:r>
    </w:p>
    <w:p w14:paraId="1B259DCA">
      <w:pPr>
        <w:pStyle w:val="9"/>
        <w:tabs>
          <w:tab w:val="right" w:leader="dot" w:pos="8306"/>
        </w:tabs>
      </w:pPr>
      <w:r>
        <w:fldChar w:fldCharType="begin"/>
      </w:r>
      <w:r>
        <w:instrText xml:space="preserve"> HYPERLINK \l "_Toc30181" </w:instrText>
      </w:r>
      <w:r>
        <w:fldChar w:fldCharType="separate"/>
      </w:r>
      <w:r>
        <w:rPr>
          <w:rFonts w:hint="eastAsia"/>
        </w:rPr>
        <w:t>5  计量特性</w:t>
      </w:r>
      <w:r>
        <w:tab/>
      </w:r>
      <w:r>
        <w:fldChar w:fldCharType="begin"/>
      </w:r>
      <w:r>
        <w:instrText xml:space="preserve"> PAGEREF _Toc30181 \h </w:instrText>
      </w:r>
      <w:r>
        <w:fldChar w:fldCharType="separate"/>
      </w:r>
      <w:r>
        <w:t>2</w:t>
      </w:r>
      <w:r>
        <w:fldChar w:fldCharType="end"/>
      </w:r>
      <w:r>
        <w:fldChar w:fldCharType="end"/>
      </w:r>
    </w:p>
    <w:p w14:paraId="0D231232">
      <w:pPr>
        <w:pStyle w:val="9"/>
        <w:tabs>
          <w:tab w:val="right" w:leader="dot" w:pos="8306"/>
        </w:tabs>
      </w:pPr>
      <w:r>
        <w:fldChar w:fldCharType="begin"/>
      </w:r>
      <w:r>
        <w:instrText xml:space="preserve"> HYPERLINK \l "_Toc9333" </w:instrText>
      </w:r>
      <w:r>
        <w:fldChar w:fldCharType="separate"/>
      </w:r>
      <w:r>
        <w:rPr>
          <w:rFonts w:hint="eastAsia"/>
        </w:rPr>
        <w:t>6</w:t>
      </w:r>
      <w:r>
        <w:t xml:space="preserve">  </w:t>
      </w:r>
      <w:r>
        <w:rPr>
          <w:rFonts w:hint="eastAsia"/>
        </w:rPr>
        <w:t>校准</w:t>
      </w:r>
      <w:r>
        <w:t>条件</w:t>
      </w:r>
      <w:r>
        <w:tab/>
      </w:r>
      <w:r>
        <w:fldChar w:fldCharType="begin"/>
      </w:r>
      <w:r>
        <w:instrText xml:space="preserve"> PAGEREF _Toc9333 \h </w:instrText>
      </w:r>
      <w:r>
        <w:fldChar w:fldCharType="separate"/>
      </w:r>
      <w:r>
        <w:t>2</w:t>
      </w:r>
      <w:r>
        <w:fldChar w:fldCharType="end"/>
      </w:r>
      <w:r>
        <w:fldChar w:fldCharType="end"/>
      </w:r>
    </w:p>
    <w:p w14:paraId="157DCA67">
      <w:pPr>
        <w:pStyle w:val="9"/>
        <w:tabs>
          <w:tab w:val="right" w:leader="dot" w:pos="8306"/>
        </w:tabs>
      </w:pPr>
      <w:r>
        <w:fldChar w:fldCharType="begin"/>
      </w:r>
      <w:r>
        <w:instrText xml:space="preserve"> HYPERLINK \l "_Toc10654" </w:instrText>
      </w:r>
      <w:r>
        <w:fldChar w:fldCharType="separate"/>
      </w:r>
      <w:r>
        <w:rPr>
          <w:rFonts w:hint="eastAsia"/>
        </w:rPr>
        <w:t>7  校准项目和校准方法</w:t>
      </w:r>
      <w:r>
        <w:tab/>
      </w:r>
      <w:r>
        <w:fldChar w:fldCharType="begin"/>
      </w:r>
      <w:r>
        <w:instrText xml:space="preserve"> PAGEREF _Toc10654 \h </w:instrText>
      </w:r>
      <w:r>
        <w:fldChar w:fldCharType="separate"/>
      </w:r>
      <w:r>
        <w:t>3</w:t>
      </w:r>
      <w:r>
        <w:fldChar w:fldCharType="end"/>
      </w:r>
      <w:r>
        <w:fldChar w:fldCharType="end"/>
      </w:r>
    </w:p>
    <w:p w14:paraId="15CA9AC7">
      <w:pPr>
        <w:pStyle w:val="9"/>
        <w:tabs>
          <w:tab w:val="right" w:leader="dot" w:pos="8306"/>
        </w:tabs>
      </w:pPr>
      <w:r>
        <w:fldChar w:fldCharType="begin"/>
      </w:r>
      <w:r>
        <w:instrText xml:space="preserve"> HYPERLINK \l "_Toc10312" </w:instrText>
      </w:r>
      <w:r>
        <w:fldChar w:fldCharType="separate"/>
      </w:r>
      <w:r>
        <w:rPr>
          <w:rFonts w:hint="eastAsia"/>
        </w:rPr>
        <w:t>8</w:t>
      </w:r>
      <w:r>
        <w:t xml:space="preserve">  </w:t>
      </w:r>
      <w:r>
        <w:rPr>
          <w:rFonts w:hint="eastAsia"/>
        </w:rPr>
        <w:t>校准结果表达</w:t>
      </w:r>
      <w:r>
        <w:tab/>
      </w:r>
      <w:r>
        <w:fldChar w:fldCharType="begin"/>
      </w:r>
      <w:r>
        <w:instrText xml:space="preserve"> PAGEREF _Toc10312 \h </w:instrText>
      </w:r>
      <w:r>
        <w:fldChar w:fldCharType="separate"/>
      </w:r>
      <w:r>
        <w:t>6</w:t>
      </w:r>
      <w:r>
        <w:fldChar w:fldCharType="end"/>
      </w:r>
      <w:r>
        <w:fldChar w:fldCharType="end"/>
      </w:r>
    </w:p>
    <w:p w14:paraId="18A0711A">
      <w:pPr>
        <w:pStyle w:val="9"/>
        <w:tabs>
          <w:tab w:val="right" w:leader="dot" w:pos="8306"/>
        </w:tabs>
      </w:pPr>
      <w:r>
        <w:fldChar w:fldCharType="begin"/>
      </w:r>
      <w:r>
        <w:instrText xml:space="preserve"> HYPERLINK \l "_Toc32710" </w:instrText>
      </w:r>
      <w:r>
        <w:fldChar w:fldCharType="separate"/>
      </w:r>
      <w:r>
        <w:rPr>
          <w:rFonts w:hint="eastAsia"/>
        </w:rPr>
        <w:t>9</w:t>
      </w:r>
      <w:r>
        <w:t xml:space="preserve">  复校时间间隔</w:t>
      </w:r>
      <w:r>
        <w:tab/>
      </w:r>
      <w:r>
        <w:fldChar w:fldCharType="begin"/>
      </w:r>
      <w:r>
        <w:instrText xml:space="preserve"> PAGEREF _Toc32710 \h </w:instrText>
      </w:r>
      <w:r>
        <w:fldChar w:fldCharType="separate"/>
      </w:r>
      <w:r>
        <w:t>6</w:t>
      </w:r>
      <w:r>
        <w:fldChar w:fldCharType="end"/>
      </w:r>
      <w:r>
        <w:fldChar w:fldCharType="end"/>
      </w:r>
    </w:p>
    <w:p w14:paraId="5E1FBDBF">
      <w:pPr>
        <w:pStyle w:val="9"/>
        <w:tabs>
          <w:tab w:val="right" w:leader="dot" w:pos="8306"/>
        </w:tabs>
      </w:pPr>
      <w:r>
        <w:fldChar w:fldCharType="begin"/>
      </w:r>
      <w:r>
        <w:instrText xml:space="preserve"> HYPERLINK \l "_Toc17675" </w:instrText>
      </w:r>
      <w:r>
        <w:fldChar w:fldCharType="separate"/>
      </w:r>
      <w:r>
        <w:rPr>
          <w:rFonts w:hint="eastAsia"/>
        </w:rPr>
        <w:t>附录A 校准证书内页参考格式</w:t>
      </w:r>
      <w:r>
        <w:tab/>
      </w:r>
      <w:r>
        <w:fldChar w:fldCharType="begin"/>
      </w:r>
      <w:r>
        <w:instrText xml:space="preserve"> PAGEREF _Toc17675 \h </w:instrText>
      </w:r>
      <w:r>
        <w:fldChar w:fldCharType="separate"/>
      </w:r>
      <w:r>
        <w:t>7</w:t>
      </w:r>
      <w:r>
        <w:fldChar w:fldCharType="end"/>
      </w:r>
      <w:r>
        <w:fldChar w:fldCharType="end"/>
      </w:r>
    </w:p>
    <w:p w14:paraId="02BF3749">
      <w:pPr>
        <w:pStyle w:val="9"/>
        <w:tabs>
          <w:tab w:val="right" w:leader="dot" w:pos="8306"/>
        </w:tabs>
      </w:pPr>
      <w:r>
        <w:fldChar w:fldCharType="begin"/>
      </w:r>
      <w:r>
        <w:instrText xml:space="preserve"> HYPERLINK \l "_Toc32630" </w:instrText>
      </w:r>
      <w:r>
        <w:fldChar w:fldCharType="separate"/>
      </w:r>
      <w:r>
        <w:rPr>
          <w:rFonts w:hint="eastAsia"/>
        </w:rPr>
        <w:t>附录B 原始记录参考格式</w:t>
      </w:r>
      <w:r>
        <w:tab/>
      </w:r>
      <w:r>
        <w:fldChar w:fldCharType="begin"/>
      </w:r>
      <w:r>
        <w:instrText xml:space="preserve"> PAGEREF _Toc32630 \h </w:instrText>
      </w:r>
      <w:r>
        <w:fldChar w:fldCharType="separate"/>
      </w:r>
      <w:r>
        <w:t>8</w:t>
      </w:r>
      <w:r>
        <w:fldChar w:fldCharType="end"/>
      </w:r>
      <w:r>
        <w:fldChar w:fldCharType="end"/>
      </w:r>
    </w:p>
    <w:p w14:paraId="7CB89866">
      <w:pPr>
        <w:pStyle w:val="9"/>
        <w:tabs>
          <w:tab w:val="right" w:leader="dot" w:pos="8306"/>
        </w:tabs>
      </w:pPr>
      <w:r>
        <w:fldChar w:fldCharType="begin"/>
      </w:r>
      <w:r>
        <w:instrText xml:space="preserve"> HYPERLINK \l "_Toc10550" </w:instrText>
      </w:r>
      <w:r>
        <w:fldChar w:fldCharType="separate"/>
      </w:r>
      <w:r>
        <w:rPr>
          <w:rFonts w:hint="eastAsia"/>
        </w:rPr>
        <w:t>附录C 校准结果不确定度评估实例</w:t>
      </w:r>
      <w:r>
        <w:tab/>
      </w:r>
      <w:r>
        <w:fldChar w:fldCharType="begin"/>
      </w:r>
      <w:r>
        <w:instrText xml:space="preserve"> PAGEREF _Toc10550 \h </w:instrText>
      </w:r>
      <w:r>
        <w:fldChar w:fldCharType="separate"/>
      </w:r>
      <w:r>
        <w:t>9</w:t>
      </w:r>
      <w:r>
        <w:fldChar w:fldCharType="end"/>
      </w:r>
      <w:r>
        <w:fldChar w:fldCharType="end"/>
      </w:r>
    </w:p>
    <w:p w14:paraId="50BB79B1">
      <w:pPr>
        <w:autoSpaceDE w:val="0"/>
        <w:autoSpaceDN w:val="0"/>
        <w:adjustRightInd w:val="0"/>
        <w:spacing w:line="360" w:lineRule="auto"/>
        <w:ind w:left="1416" w:leftChars="590"/>
        <w:rPr>
          <w:rFonts w:asciiTheme="minorEastAsia" w:hAnsiTheme="minorEastAsia"/>
          <w:color w:val="D9D9D9" w:themeColor="background1" w:themeShade="D9"/>
        </w:rPr>
      </w:pPr>
      <w:r>
        <w:rPr>
          <w:rFonts w:asciiTheme="minorEastAsia" w:hAnsiTheme="minorEastAsia"/>
          <w:color w:val="D9D9D9" w:themeColor="background1" w:themeShade="D9"/>
        </w:rPr>
        <w:fldChar w:fldCharType="end"/>
      </w:r>
    </w:p>
    <w:p w14:paraId="433856CA"/>
    <w:p w14:paraId="636654E7"/>
    <w:p w14:paraId="67D413BB"/>
    <w:p w14:paraId="4E05E9C3"/>
    <w:p w14:paraId="53E5CF35"/>
    <w:p w14:paraId="324AF747"/>
    <w:p w14:paraId="00FD1C2A"/>
    <w:p w14:paraId="092E21AC"/>
    <w:p w14:paraId="49CE6F9E"/>
    <w:p w14:paraId="0F9CE538"/>
    <w:p w14:paraId="111244DA"/>
    <w:p w14:paraId="04E818D2">
      <w:pPr>
        <w:sectPr>
          <w:headerReference r:id="rId16" w:type="first"/>
          <w:footerReference r:id="rId18" w:type="first"/>
          <w:footerReference r:id="rId17" w:type="default"/>
          <w:pgSz w:w="11906" w:h="16838"/>
          <w:pgMar w:top="1440" w:right="1800" w:bottom="1440" w:left="1800" w:header="851" w:footer="992" w:gutter="0"/>
          <w:pgNumType w:fmt="upperRoman" w:start="1"/>
          <w:cols w:space="425" w:num="1"/>
          <w:titlePg/>
          <w:docGrid w:type="lines" w:linePitch="326" w:charSpace="0"/>
        </w:sectPr>
      </w:pPr>
    </w:p>
    <w:p w14:paraId="570CD78D">
      <w:pPr>
        <w:pStyle w:val="19"/>
        <w:numPr>
          <w:ilvl w:val="0"/>
          <w:numId w:val="0"/>
        </w:numPr>
        <w:spacing w:before="640" w:after="560"/>
        <w:rPr>
          <w:rFonts w:ascii="Times New Roman"/>
          <w:sz w:val="44"/>
          <w:szCs w:val="44"/>
        </w:rPr>
      </w:pPr>
      <w:bookmarkStart w:id="0" w:name="_Toc28142"/>
      <w:bookmarkStart w:id="1" w:name="_Toc12261"/>
      <w:bookmarkStart w:id="2" w:name="_Toc24703"/>
      <w:r>
        <w:rPr>
          <w:rFonts w:hint="eastAsia" w:hAnsi="宋体"/>
          <w:sz w:val="44"/>
          <w:szCs w:val="44"/>
        </w:rPr>
        <w:t>引</w:t>
      </w:r>
      <w:r>
        <w:rPr>
          <w:rFonts w:ascii="Times New Roman"/>
          <w:sz w:val="44"/>
          <w:szCs w:val="44"/>
        </w:rPr>
        <w:t xml:space="preserve"> </w:t>
      </w:r>
      <w:r>
        <w:rPr>
          <w:rFonts w:hint="eastAsia" w:ascii="Times New Roman"/>
          <w:sz w:val="44"/>
          <w:szCs w:val="44"/>
        </w:rPr>
        <w:t>言</w:t>
      </w:r>
      <w:bookmarkEnd w:id="0"/>
      <w:bookmarkEnd w:id="1"/>
      <w:bookmarkEnd w:id="2"/>
    </w:p>
    <w:p w14:paraId="22B61CF5">
      <w:pPr>
        <w:pStyle w:val="20"/>
        <w:numPr>
          <w:ilvl w:val="0"/>
          <w:numId w:val="2"/>
        </w:numPr>
        <w:adjustRightInd w:val="0"/>
        <w:snapToGrid w:val="0"/>
        <w:spacing w:line="400" w:lineRule="atLeast"/>
        <w:ind w:firstLineChars="0"/>
      </w:pPr>
      <w:r>
        <w:rPr>
          <w:rFonts w:hint="eastAsia" w:ascii="宋体" w:hAnsi="宋体"/>
        </w:rPr>
        <w:t xml:space="preserve">    </w:t>
      </w:r>
      <w:r>
        <w:rPr>
          <w:rFonts w:ascii="宋体" w:hAnsi="宋体"/>
        </w:rPr>
        <w:t>JJF 1001</w:t>
      </w:r>
      <w:r>
        <w:rPr>
          <w:rFonts w:hint="eastAsia" w:ascii="宋体" w:hAnsi="宋体"/>
        </w:rPr>
        <w:t>-2011</w:t>
      </w:r>
      <w:r>
        <w:rPr>
          <w:rFonts w:ascii="宋体" w:hAnsi="宋体"/>
        </w:rPr>
        <w:t>《通用计量名词术语》、</w:t>
      </w:r>
      <w:r>
        <w:rPr>
          <w:rFonts w:hint="eastAsia" w:ascii="宋体" w:hAnsi="宋体"/>
        </w:rPr>
        <w:t>JJF 1032-2005 《光学辐射计量名词及定义》、</w:t>
      </w:r>
      <w:r>
        <w:rPr>
          <w:rFonts w:ascii="宋体" w:hAnsi="宋体"/>
        </w:rPr>
        <w:t>JJF 1059</w:t>
      </w:r>
      <w:r>
        <w:rPr>
          <w:rFonts w:hint="eastAsia" w:ascii="宋体" w:hAnsi="宋体"/>
        </w:rPr>
        <w:t>.1-2012</w:t>
      </w:r>
      <w:r>
        <w:rPr>
          <w:rFonts w:ascii="宋体" w:hAnsi="宋体"/>
        </w:rPr>
        <w:t>《测量不确定度评定与表示》</w:t>
      </w:r>
      <w:r>
        <w:rPr>
          <w:rFonts w:hint="eastAsia" w:ascii="宋体" w:hAnsi="宋体"/>
        </w:rPr>
        <w:t>和</w:t>
      </w:r>
      <w:r>
        <w:rPr>
          <w:rFonts w:ascii="宋体" w:hAnsi="宋体"/>
        </w:rPr>
        <w:t>JJF 1071</w:t>
      </w:r>
      <w:r>
        <w:rPr>
          <w:rFonts w:hint="eastAsia" w:ascii="宋体" w:hAnsi="宋体"/>
        </w:rPr>
        <w:t>-2010</w:t>
      </w:r>
      <w:r>
        <w:rPr>
          <w:rFonts w:ascii="宋体" w:hAnsi="宋体"/>
        </w:rPr>
        <w:t>《国家计量校准规范编写规则》共同构成</w:t>
      </w:r>
      <w:r>
        <w:rPr>
          <w:rFonts w:hint="eastAsia"/>
        </w:rPr>
        <w:t>本校准规范</w:t>
      </w:r>
      <w:r>
        <w:rPr>
          <w:rFonts w:ascii="宋体" w:hAnsi="宋体"/>
        </w:rPr>
        <w:t>制订工作的基础性系列规范。</w:t>
      </w:r>
    </w:p>
    <w:p w14:paraId="3F81A996">
      <w:pPr>
        <w:pStyle w:val="20"/>
        <w:adjustRightInd w:val="0"/>
        <w:snapToGrid w:val="0"/>
        <w:spacing w:line="400" w:lineRule="atLeast"/>
        <w:ind w:firstLine="480"/>
      </w:pPr>
      <w:r>
        <w:rPr>
          <w:rFonts w:hint="eastAsia"/>
        </w:rPr>
        <w:t>本校准规范为首次发布</w:t>
      </w:r>
    </w:p>
    <w:p w14:paraId="6C53BD60">
      <w:pPr>
        <w:widowControl/>
        <w:jc w:val="left"/>
        <w:sectPr>
          <w:footerReference r:id="rId19" w:type="default"/>
          <w:pgSz w:w="11906" w:h="16838"/>
          <w:pgMar w:top="1440" w:right="1800" w:bottom="1440" w:left="1800" w:header="851" w:footer="992" w:gutter="0"/>
          <w:pgNumType w:fmt="upperRoman"/>
          <w:cols w:space="425" w:num="1"/>
          <w:docGrid w:type="lines" w:linePitch="312" w:charSpace="0"/>
        </w:sectPr>
      </w:pPr>
      <w:r>
        <w:br w:type="page"/>
      </w:r>
    </w:p>
    <w:p w14:paraId="6394FC91">
      <w:pPr>
        <w:pStyle w:val="20"/>
        <w:numPr>
          <w:ilvl w:val="0"/>
          <w:numId w:val="2"/>
        </w:numPr>
        <w:adjustRightInd w:val="0"/>
        <w:snapToGrid w:val="0"/>
        <w:spacing w:line="400" w:lineRule="atLeast"/>
        <w:ind w:firstLineChars="0"/>
      </w:pPr>
    </w:p>
    <w:p w14:paraId="65AA27B5">
      <w:pPr>
        <w:spacing w:line="360" w:lineRule="auto"/>
        <w:jc w:val="center"/>
        <w:rPr>
          <w:rFonts w:ascii="黑体" w:eastAsia="黑体"/>
          <w:sz w:val="44"/>
          <w:szCs w:val="44"/>
        </w:rPr>
      </w:pPr>
      <w:r>
        <w:rPr>
          <w:rFonts w:hint="eastAsia" w:ascii="黑体" w:eastAsia="黑体"/>
          <w:kern w:val="0"/>
          <w:sz w:val="32"/>
          <w:szCs w:val="32"/>
        </w:rPr>
        <w:t>2</w:t>
      </w:r>
      <w:r>
        <w:rPr>
          <w:rFonts w:eastAsia="黑体"/>
          <w:kern w:val="0"/>
          <w:sz w:val="32"/>
          <w:szCs w:val="32"/>
        </w:rPr>
        <w:t>π</w:t>
      </w:r>
      <w:r>
        <w:rPr>
          <w:rFonts w:hint="eastAsia" w:ascii="黑体" w:eastAsia="黑体"/>
          <w:kern w:val="0"/>
          <w:sz w:val="32"/>
          <w:szCs w:val="32"/>
        </w:rPr>
        <w:t>光通量计自编校准规范</w:t>
      </w:r>
    </w:p>
    <w:p w14:paraId="4BC22D36">
      <w:pPr>
        <w:pStyle w:val="21"/>
      </w:pPr>
      <w:bookmarkStart w:id="3" w:name="_Toc14421"/>
      <w:bookmarkStart w:id="4" w:name="_Toc14204"/>
      <w:r>
        <w:t xml:space="preserve">1  </w:t>
      </w:r>
      <w:r>
        <w:rPr>
          <w:rFonts w:hint="eastAsia"/>
        </w:rPr>
        <w:t>范围</w:t>
      </w:r>
      <w:bookmarkEnd w:id="3"/>
      <w:bookmarkEnd w:id="4"/>
    </w:p>
    <w:p w14:paraId="734D3E04">
      <w:pPr>
        <w:adjustRightInd w:val="0"/>
        <w:snapToGrid w:val="0"/>
        <w:ind w:firstLine="480" w:firstLineChars="200"/>
        <w:rPr>
          <w:rFonts w:asciiTheme="minorEastAsia" w:hAnsiTheme="minorEastAsia"/>
        </w:rPr>
      </w:pPr>
      <w:r>
        <w:rPr>
          <w:rFonts w:hint="eastAsia" w:asciiTheme="minorEastAsia" w:hAnsiTheme="minorEastAsia"/>
        </w:rPr>
        <w:t>本规范适用于测量不大于2</w:t>
      </w:r>
      <w:r>
        <w:t>π</w:t>
      </w:r>
      <w:r>
        <w:rPr>
          <w:rFonts w:hint="eastAsia" w:asciiTheme="minorEastAsia" w:hAnsiTheme="minorEastAsia"/>
        </w:rPr>
        <w:t>球面度光源的光通量计的校准。</w:t>
      </w:r>
    </w:p>
    <w:p w14:paraId="755111A4">
      <w:pPr>
        <w:adjustRightInd w:val="0"/>
        <w:snapToGrid w:val="0"/>
        <w:ind w:firstLine="480" w:firstLineChars="200"/>
        <w:rPr>
          <w:rFonts w:asciiTheme="minorEastAsia" w:hAnsiTheme="minorEastAsia"/>
        </w:rPr>
      </w:pPr>
    </w:p>
    <w:p w14:paraId="421EB9E3">
      <w:pPr>
        <w:pStyle w:val="21"/>
      </w:pPr>
      <w:bookmarkStart w:id="5" w:name="_Toc22470"/>
      <w:bookmarkStart w:id="6" w:name="_Toc1703"/>
      <w:r>
        <w:rPr>
          <w:rFonts w:hint="eastAsia"/>
        </w:rPr>
        <w:t>2</w:t>
      </w:r>
      <w:r>
        <w:t xml:space="preserve">  </w:t>
      </w:r>
      <w:r>
        <w:rPr>
          <w:rFonts w:hint="eastAsia"/>
        </w:rPr>
        <w:t>引用文件</w:t>
      </w:r>
      <w:bookmarkEnd w:id="5"/>
      <w:bookmarkEnd w:id="6"/>
    </w:p>
    <w:p w14:paraId="2FCE164D">
      <w:pPr>
        <w:pStyle w:val="18"/>
        <w:spacing w:line="400" w:lineRule="exact"/>
        <w:ind w:firstLine="420" w:firstLineChars="0"/>
        <w:rPr>
          <w:rFonts w:hAnsi="宋体"/>
          <w:sz w:val="24"/>
          <w:szCs w:val="24"/>
        </w:rPr>
      </w:pPr>
      <w:r>
        <w:rPr>
          <w:rFonts w:hint="eastAsia" w:hAnsi="宋体"/>
          <w:sz w:val="24"/>
          <w:szCs w:val="24"/>
        </w:rPr>
        <w:t>本校准规范引用下列文件：</w:t>
      </w:r>
      <w:bookmarkStart w:id="7" w:name="OLE_LINK6"/>
    </w:p>
    <w:p w14:paraId="103A63D7">
      <w:pPr>
        <w:ind w:firstLine="420"/>
        <w:rPr>
          <w:rFonts w:ascii="宋体" w:hAnsi="宋体" w:eastAsia="宋体" w:cs="宋体"/>
        </w:rPr>
      </w:pPr>
      <w:r>
        <w:rPr>
          <w:rFonts w:hint="eastAsia" w:ascii="宋体" w:hAnsi="宋体" w:eastAsia="宋体" w:cs="宋体"/>
        </w:rPr>
        <w:t>JJG 245-2005 光照度计检定规程</w:t>
      </w:r>
    </w:p>
    <w:p w14:paraId="2B14D6BF">
      <w:pPr>
        <w:ind w:firstLine="420"/>
      </w:pPr>
      <w:r>
        <w:rPr>
          <w:rFonts w:hint="eastAsia" w:ascii="宋体" w:hAnsi="宋体" w:eastAsia="宋体" w:cs="宋体"/>
        </w:rPr>
        <w:t>JJG 246-2005 发光强度标准灯检定规程</w:t>
      </w:r>
    </w:p>
    <w:p w14:paraId="597F143C">
      <w:pPr>
        <w:ind w:firstLine="420"/>
        <w:rPr>
          <w:rFonts w:ascii="宋体" w:hAnsi="宋体" w:eastAsia="宋体" w:cs="宋体"/>
        </w:rPr>
      </w:pPr>
      <w:r>
        <w:rPr>
          <w:rFonts w:hint="eastAsia" w:ascii="宋体" w:hAnsi="宋体" w:eastAsia="宋体" w:cs="宋体"/>
        </w:rPr>
        <w:t>JJG 247-2008 总光通量标准白炽灯检定规程</w:t>
      </w:r>
    </w:p>
    <w:p w14:paraId="7B381A22">
      <w:pPr>
        <w:ind w:firstLine="420"/>
        <w:rPr>
          <w:rFonts w:ascii="宋体" w:hAnsi="宋体" w:eastAsia="宋体" w:cs="宋体"/>
        </w:rPr>
      </w:pPr>
      <w:r>
        <w:rPr>
          <w:rFonts w:hint="eastAsia" w:ascii="宋体" w:hAnsi="宋体" w:eastAsia="宋体" w:cs="宋体"/>
        </w:rPr>
        <w:t>JJF 1501-2015 小功率LED单管校准规范</w:t>
      </w:r>
    </w:p>
    <w:bookmarkEnd w:id="7"/>
    <w:p w14:paraId="324F9079">
      <w:pPr>
        <w:spacing w:line="400" w:lineRule="exact"/>
        <w:ind w:firstLine="435"/>
        <w:rPr>
          <w:rFonts w:ascii="宋体" w:hAnsi="宋体"/>
        </w:rPr>
      </w:pPr>
      <w:r>
        <w:rPr>
          <w:rFonts w:hint="eastAsia" w:ascii="宋体" w:hAnsi="宋体"/>
        </w:rPr>
        <w:t>凡是注明日期的引用文件，仅注日期的版本适用于本方法；凡是注日期的引用文件，其最新版本（包括所有的修改单）适用于本方法。</w:t>
      </w:r>
    </w:p>
    <w:p w14:paraId="31665131">
      <w:pPr>
        <w:adjustRightInd w:val="0"/>
        <w:snapToGrid w:val="0"/>
        <w:rPr>
          <w:rFonts w:asciiTheme="minorEastAsia" w:hAnsiTheme="minorEastAsia"/>
        </w:rPr>
      </w:pPr>
    </w:p>
    <w:p w14:paraId="3D459978">
      <w:pPr>
        <w:pStyle w:val="21"/>
      </w:pPr>
      <w:bookmarkStart w:id="8" w:name="_Toc10537"/>
      <w:bookmarkStart w:id="9" w:name="_Toc23118"/>
      <w:r>
        <w:rPr>
          <w:rFonts w:hint="eastAsia"/>
        </w:rPr>
        <w:t>3</w:t>
      </w:r>
      <w:r>
        <w:t xml:space="preserve"> </w:t>
      </w:r>
      <w:r>
        <w:rPr>
          <w:rFonts w:hint="eastAsia"/>
        </w:rPr>
        <w:t xml:space="preserve"> 术语</w:t>
      </w:r>
      <w:bookmarkEnd w:id="8"/>
      <w:bookmarkEnd w:id="9"/>
    </w:p>
    <w:p w14:paraId="321D742D">
      <w:pPr>
        <w:adjustRightInd w:val="0"/>
        <w:snapToGrid w:val="0"/>
        <w:ind w:firstLine="420" w:firstLineChars="175"/>
        <w:rPr>
          <w:rFonts w:ascii="宋体" w:hAnsi="宋体" w:eastAsia="宋体" w:cs="宋体"/>
        </w:rPr>
      </w:pPr>
      <w:r>
        <w:rPr>
          <w:rFonts w:hint="eastAsia" w:ascii="宋体" w:hAnsi="宋体" w:eastAsia="宋体" w:cs="宋体"/>
        </w:rPr>
        <w:t>3.1 2</w:t>
      </w:r>
      <w:r>
        <w:t>π</w:t>
      </w:r>
      <w:r>
        <w:rPr>
          <w:rFonts w:hint="eastAsia" w:asciiTheme="minorEastAsia" w:hAnsiTheme="minorEastAsia"/>
        </w:rPr>
        <w:t>光通量计</w:t>
      </w:r>
      <w:r>
        <w:rPr>
          <w:rFonts w:hint="eastAsia" w:ascii="宋体" w:hAnsi="宋体" w:eastAsia="宋体" w:cs="宋体"/>
        </w:rPr>
        <w:t xml:space="preserve"> 2</w:t>
      </w:r>
      <w:r>
        <w:t>π</w:t>
      </w:r>
      <w:r>
        <w:rPr>
          <w:rFonts w:hint="eastAsia"/>
        </w:rPr>
        <w:t xml:space="preserve"> </w:t>
      </w:r>
      <w:r>
        <w:rPr>
          <w:rFonts w:hint="eastAsia" w:ascii="宋体" w:hAnsi="宋体" w:eastAsia="宋体" w:cs="宋体"/>
        </w:rPr>
        <w:t>luminous flux meter</w:t>
      </w:r>
    </w:p>
    <w:p w14:paraId="2EFEA52F">
      <w:pPr>
        <w:adjustRightInd w:val="0"/>
        <w:snapToGrid w:val="0"/>
        <w:ind w:firstLine="420" w:firstLineChars="175"/>
        <w:rPr>
          <w:rFonts w:ascii="宋体" w:hAnsi="宋体" w:eastAsia="宋体" w:cs="宋体"/>
        </w:rPr>
      </w:pPr>
      <w:r>
        <w:rPr>
          <w:rFonts w:hint="eastAsia" w:ascii="宋体" w:hAnsi="宋体" w:eastAsia="宋体" w:cs="宋体"/>
        </w:rPr>
        <w:t>一种用于测量通过某指定截面的光通量的仪器。</w:t>
      </w:r>
    </w:p>
    <w:p w14:paraId="7A13D6CF">
      <w:pPr>
        <w:adjustRightInd w:val="0"/>
        <w:snapToGrid w:val="0"/>
        <w:ind w:firstLine="420" w:firstLineChars="175"/>
        <w:rPr>
          <w:rFonts w:ascii="宋体" w:hAnsi="宋体" w:eastAsia="宋体" w:cs="宋体"/>
        </w:rPr>
      </w:pPr>
    </w:p>
    <w:p w14:paraId="6624C220">
      <w:pPr>
        <w:adjustRightInd w:val="0"/>
        <w:snapToGrid w:val="0"/>
        <w:ind w:firstLine="420" w:firstLineChars="175"/>
        <w:jc w:val="left"/>
        <w:rPr>
          <w:rFonts w:ascii="宋体" w:hAnsi="宋体" w:eastAsia="宋体" w:cs="宋体"/>
        </w:rPr>
      </w:pPr>
      <w:bookmarkStart w:id="10" w:name="_Toc127591258"/>
      <w:r>
        <w:rPr>
          <w:rFonts w:hint="eastAsia" w:ascii="宋体" w:hAnsi="宋体" w:eastAsia="宋体" w:cs="宋体"/>
        </w:rPr>
        <w:t xml:space="preserve">3.2 </w:t>
      </w:r>
      <w:bookmarkEnd w:id="10"/>
      <w:r>
        <w:rPr>
          <w:rFonts w:hint="eastAsia" w:ascii="宋体" w:hAnsi="宋体" w:eastAsia="宋体" w:cs="宋体"/>
        </w:rPr>
        <w:t>光纤光源 Fibre based light source</w:t>
      </w:r>
    </w:p>
    <w:p w14:paraId="2B383A71">
      <w:pPr>
        <w:adjustRightInd w:val="0"/>
        <w:snapToGrid w:val="0"/>
        <w:ind w:firstLine="420" w:firstLineChars="175"/>
        <w:jc w:val="left"/>
        <w:rPr>
          <w:rFonts w:ascii="宋体" w:hAnsi="宋体" w:eastAsia="宋体" w:cs="宋体"/>
        </w:rPr>
      </w:pPr>
      <w:r>
        <w:rPr>
          <w:rFonts w:hint="eastAsia" w:ascii="宋体" w:hAnsi="宋体" w:eastAsia="宋体" w:cs="宋体"/>
        </w:rPr>
        <w:t>一种利用光纤作为导光材料的光源。</w:t>
      </w:r>
    </w:p>
    <w:p w14:paraId="2726BB59">
      <w:pPr>
        <w:pStyle w:val="21"/>
      </w:pPr>
      <w:bookmarkStart w:id="11" w:name="_Toc21746"/>
      <w:bookmarkStart w:id="12" w:name="_Toc22504"/>
      <w:r>
        <w:rPr>
          <w:rFonts w:hint="eastAsia"/>
        </w:rPr>
        <w:t>4  概述</w:t>
      </w:r>
      <w:bookmarkEnd w:id="11"/>
      <w:bookmarkEnd w:id="12"/>
    </w:p>
    <w:p w14:paraId="13EE04F3">
      <w:pPr>
        <w:ind w:firstLine="480" w:firstLineChars="200"/>
        <w:rPr>
          <w:rFonts w:ascii="宋体" w:hAnsi="宋体" w:eastAsia="宋体" w:cs="宋体"/>
        </w:rPr>
      </w:pPr>
      <w:r>
        <w:rPr>
          <w:rFonts w:hint="eastAsia" w:asciiTheme="minorEastAsia" w:hAnsiTheme="minorEastAsia"/>
        </w:rPr>
        <w:t>2</w:t>
      </w:r>
      <w:r>
        <w:t>π</w:t>
      </w:r>
      <w:r>
        <w:rPr>
          <w:rFonts w:hint="eastAsia" w:asciiTheme="minorEastAsia" w:hAnsiTheme="minorEastAsia"/>
        </w:rPr>
        <w:t>光通量计（以下简称光通量计）是</w:t>
      </w:r>
      <w:r>
        <w:rPr>
          <w:rFonts w:hint="eastAsia" w:ascii="宋体" w:hAnsi="宋体" w:eastAsia="宋体" w:cs="宋体"/>
        </w:rPr>
        <w:t>一种用于测量通过某指定截面的光通量的仪器，日常亦可用于测量发光面不大于半球面（立体角不大于2</w:t>
      </w:r>
      <w:r>
        <w:rPr>
          <w:rFonts w:eastAsia="宋体"/>
        </w:rPr>
        <w:t>π</w:t>
      </w:r>
      <w:r>
        <w:rPr>
          <w:rFonts w:hint="eastAsia" w:ascii="宋体" w:hAnsi="宋体" w:eastAsia="宋体" w:cs="宋体"/>
        </w:rPr>
        <w:t>）光源的总光通量值。例如，测量贴片式LED、光纤光源的总光通量。</w:t>
      </w:r>
    </w:p>
    <w:p w14:paraId="2D4099EC">
      <w:pPr>
        <w:ind w:firstLine="480" w:firstLineChars="200"/>
        <w:rPr>
          <w:rFonts w:asciiTheme="minorEastAsia" w:hAnsiTheme="minorEastAsia"/>
        </w:rPr>
      </w:pPr>
      <w:r>
        <w:rPr>
          <w:rFonts w:hint="eastAsia" w:asciiTheme="minorEastAsia" w:hAnsiTheme="minorEastAsia"/>
        </w:rPr>
        <w:t>光通量计通常由带有开口的积分球、光度探测系统组成。积分球的开口直径一般不大于积分球半径的二分之一，在开口和光度探测器之间设有挡板，遮挡开口处光源到探测器之间的直射光。光度探测系统，由带余弦修正器</w:t>
      </w:r>
      <w:r>
        <w:rPr>
          <w:rFonts w:hint="eastAsia" w:asciiTheme="minorEastAsia" w:hAnsiTheme="minorEastAsia"/>
          <w:lang w:val="en-US" w:eastAsia="zh-CN"/>
        </w:rPr>
        <w:t>和</w:t>
      </w:r>
      <w:r>
        <w:rPr>
          <w:rFonts w:hint="eastAsia" w:asciiTheme="minorEastAsia" w:hAnsiTheme="minorEastAsia"/>
        </w:rPr>
        <w:t>V（</w:t>
      </w:r>
      <w:r>
        <w:t>λ</w:t>
      </w:r>
      <w:r>
        <w:rPr>
          <w:rFonts w:hint="eastAsia" w:asciiTheme="minorEastAsia" w:hAnsiTheme="minorEastAsia"/>
        </w:rPr>
        <w:t>）修正器的光度探测器</w:t>
      </w:r>
      <w:r>
        <w:rPr>
          <w:rFonts w:hint="eastAsia" w:asciiTheme="minorEastAsia" w:hAnsiTheme="minorEastAsia"/>
          <w:lang w:eastAsia="zh-CN"/>
        </w:rPr>
        <w:t>、</w:t>
      </w:r>
      <w:r>
        <w:rPr>
          <w:rFonts w:hint="eastAsia" w:asciiTheme="minorEastAsia" w:hAnsiTheme="minorEastAsia"/>
        </w:rPr>
        <w:t>信号采集</w:t>
      </w:r>
      <w:r>
        <w:rPr>
          <w:rFonts w:hint="eastAsia" w:asciiTheme="minorEastAsia" w:hAnsiTheme="minorEastAsia"/>
          <w:lang w:val="en-US" w:eastAsia="zh-CN"/>
        </w:rPr>
        <w:t>处理</w:t>
      </w:r>
      <w:r>
        <w:rPr>
          <w:rFonts w:hint="eastAsia" w:asciiTheme="minorEastAsia" w:hAnsiTheme="minorEastAsia"/>
        </w:rPr>
        <w:t>和数值显示模块组成</w:t>
      </w:r>
      <w:r>
        <w:rPr>
          <w:rFonts w:hint="eastAsia" w:asciiTheme="minorEastAsia" w:hAnsiTheme="minorEastAsia"/>
          <w:lang w:eastAsia="zh-CN"/>
        </w:rPr>
        <w:t>；</w:t>
      </w:r>
      <w:r>
        <w:rPr>
          <w:rFonts w:hint="eastAsia" w:asciiTheme="minorEastAsia" w:hAnsiTheme="minorEastAsia"/>
        </w:rPr>
        <w:t>或者是</w:t>
      </w:r>
      <w:r>
        <w:rPr>
          <w:rFonts w:hint="eastAsia" w:asciiTheme="minorEastAsia" w:hAnsiTheme="minorEastAsia"/>
          <w:lang w:val="en-US" w:eastAsia="zh-CN"/>
        </w:rPr>
        <w:t>由</w:t>
      </w:r>
      <w:r>
        <w:rPr>
          <w:rFonts w:hint="eastAsia" w:asciiTheme="minorEastAsia" w:hAnsiTheme="minorEastAsia"/>
        </w:rPr>
        <w:t>光纤收集器、光谱辐射计和计算机组成。</w:t>
      </w:r>
    </w:p>
    <w:p w14:paraId="225DBCB1">
      <w:pPr>
        <w:ind w:firstLine="480" w:firstLineChars="200"/>
        <w:rPr>
          <w:rFonts w:asciiTheme="minorEastAsia" w:hAnsiTheme="minorEastAsia"/>
        </w:rPr>
      </w:pPr>
      <w:r>
        <w:rPr>
          <w:rFonts w:hint="eastAsia" w:asciiTheme="minorEastAsia" w:hAnsiTheme="minorEastAsia"/>
        </w:rPr>
        <w:t>光通量计的基本结构如图1 所示。</w:t>
      </w:r>
    </w:p>
    <w:p w14:paraId="011C907F">
      <w:pPr>
        <w:ind w:firstLine="480" w:firstLineChars="200"/>
      </w:pPr>
      <w:r>
        <w:drawing>
          <wp:inline distT="0" distB="0" distL="114300" distR="114300">
            <wp:extent cx="4602480" cy="1569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4602480" cy="1569720"/>
                    </a:xfrm>
                    <a:prstGeom prst="rect">
                      <a:avLst/>
                    </a:prstGeom>
                    <a:noFill/>
                    <a:ln>
                      <a:noFill/>
                    </a:ln>
                  </pic:spPr>
                </pic:pic>
              </a:graphicData>
            </a:graphic>
          </wp:inline>
        </w:drawing>
      </w:r>
    </w:p>
    <w:p w14:paraId="3FE00279">
      <w:pPr>
        <w:ind w:firstLine="480" w:firstLineChars="200"/>
        <w:jc w:val="center"/>
        <w:rPr>
          <w:highlight w:val="yellow"/>
        </w:rPr>
      </w:pPr>
      <w:r>
        <w:rPr>
          <w:rFonts w:hint="eastAsia"/>
        </w:rPr>
        <w:t>图1 光通量计示意图</w:t>
      </w:r>
    </w:p>
    <w:p w14:paraId="0FCBA77D">
      <w:pPr>
        <w:pStyle w:val="21"/>
      </w:pPr>
      <w:bookmarkStart w:id="13" w:name="_Toc12271"/>
      <w:bookmarkStart w:id="14" w:name="_Toc30181"/>
      <w:r>
        <w:rPr>
          <w:rFonts w:hint="eastAsia"/>
        </w:rPr>
        <w:t>5  计量特性</w:t>
      </w:r>
      <w:bookmarkEnd w:id="13"/>
      <w:bookmarkEnd w:id="14"/>
    </w:p>
    <w:p w14:paraId="12E528F3">
      <w:pPr>
        <w:rPr>
          <w:rFonts w:ascii="宋体" w:hAnsi="宋体" w:eastAsia="宋体" w:cs="宋体"/>
        </w:rPr>
      </w:pPr>
      <w:r>
        <w:rPr>
          <w:rFonts w:hint="eastAsia" w:ascii="宋体" w:hAnsi="宋体" w:eastAsia="宋体" w:cs="宋体"/>
        </w:rPr>
        <w:t xml:space="preserve">光通量范围（0.1 lm </w:t>
      </w:r>
      <w:r>
        <w:rPr>
          <w:rFonts w:eastAsia="宋体"/>
        </w:rPr>
        <w:t>~</w:t>
      </w:r>
      <w:r>
        <w:rPr>
          <w:rFonts w:hint="eastAsia" w:ascii="宋体" w:hAnsi="宋体" w:eastAsia="宋体" w:cs="宋体"/>
        </w:rPr>
        <w:t xml:space="preserve"> 1000 lm）相对示值误差 ±5%</w:t>
      </w:r>
    </w:p>
    <w:p w14:paraId="7C60B124">
      <w:pPr>
        <w:rPr>
          <w:rFonts w:asciiTheme="minorEastAsia" w:hAnsiTheme="minorEastAsia"/>
        </w:rPr>
      </w:pPr>
      <w:r>
        <w:rPr>
          <w:rFonts w:hint="eastAsia" w:ascii="宋体" w:hAnsi="宋体" w:eastAsia="宋体" w:cs="宋体"/>
        </w:rPr>
        <w:t xml:space="preserve"> 注：以上指标不适用合格性判定，仅供参考。</w:t>
      </w:r>
    </w:p>
    <w:p w14:paraId="24789B21">
      <w:pPr>
        <w:pStyle w:val="21"/>
      </w:pPr>
      <w:bookmarkStart w:id="15" w:name="_Toc9333"/>
      <w:bookmarkStart w:id="16" w:name="_Toc31528"/>
      <w:r>
        <w:rPr>
          <w:rFonts w:hint="eastAsia"/>
        </w:rPr>
        <w:t>6</w:t>
      </w:r>
      <w:r>
        <w:t xml:space="preserve">  </w:t>
      </w:r>
      <w:r>
        <w:rPr>
          <w:rFonts w:hint="eastAsia"/>
        </w:rPr>
        <w:t>校准</w:t>
      </w:r>
      <w:r>
        <w:t>条件</w:t>
      </w:r>
      <w:bookmarkEnd w:id="15"/>
      <w:bookmarkEnd w:id="16"/>
    </w:p>
    <w:p w14:paraId="41E40DF1">
      <w:pPr>
        <w:rPr>
          <w:rFonts w:ascii="宋体" w:hAnsi="宋体" w:eastAsia="宋体" w:cs="宋体"/>
        </w:rPr>
      </w:pPr>
      <w:bookmarkStart w:id="17" w:name="_Toc519778265"/>
      <w:bookmarkStart w:id="18" w:name="_Toc29783"/>
      <w:r>
        <w:rPr>
          <w:rFonts w:hint="eastAsia" w:ascii="宋体" w:hAnsi="宋体" w:eastAsia="宋体" w:cs="宋体"/>
        </w:rPr>
        <w:t>6.1  环境条件</w:t>
      </w:r>
      <w:bookmarkEnd w:id="17"/>
      <w:bookmarkEnd w:id="18"/>
    </w:p>
    <w:p w14:paraId="64F79EEE">
      <w:pPr>
        <w:rPr>
          <w:rFonts w:ascii="宋体" w:hAnsi="宋体"/>
        </w:rPr>
      </w:pPr>
      <w:r>
        <w:rPr>
          <w:szCs w:val="21"/>
        </w:rPr>
        <w:tab/>
      </w:r>
      <w:r>
        <w:rPr>
          <w:szCs w:val="21"/>
        </w:rPr>
        <w:t>实验室</w:t>
      </w:r>
      <w:r>
        <w:rPr>
          <w:rFonts w:hint="eastAsia"/>
          <w:szCs w:val="21"/>
          <w:lang w:val="en-US" w:eastAsia="zh-CN"/>
        </w:rPr>
        <w:t>宜采用光学暗室，</w:t>
      </w:r>
      <w:r>
        <w:rPr>
          <w:rFonts w:hAnsi="宋体"/>
          <w:szCs w:val="21"/>
        </w:rPr>
        <w:t>温度应处于</w:t>
      </w:r>
      <w:r>
        <w:rPr>
          <w:rFonts w:hint="eastAsia" w:hAnsi="宋体"/>
          <w:szCs w:val="21"/>
        </w:rPr>
        <w:t>在</w:t>
      </w:r>
      <w:r>
        <w:rPr>
          <w:rFonts w:asciiTheme="minorEastAsia" w:hAnsiTheme="minorEastAsia"/>
          <w:szCs w:val="21"/>
        </w:rPr>
        <w:t>（23</w:t>
      </w:r>
      <w:r>
        <w:rPr>
          <w:rFonts w:asciiTheme="minorEastAsia" w:hAnsiTheme="minorEastAsia"/>
          <w:szCs w:val="21"/>
        </w:rPr>
        <w:sym w:font="Symbol" w:char="F0B1"/>
      </w:r>
      <w:r>
        <w:rPr>
          <w:rFonts w:hint="eastAsia" w:asciiTheme="minorEastAsia" w:hAnsiTheme="minorEastAsia"/>
          <w:szCs w:val="21"/>
        </w:rPr>
        <w:t>5</w:t>
      </w:r>
      <w:r>
        <w:rPr>
          <w:rFonts w:asciiTheme="minorEastAsia" w:hAnsiTheme="minorEastAsia"/>
          <w:szCs w:val="21"/>
        </w:rPr>
        <w:t>）</w:t>
      </w:r>
      <w:r>
        <w:rPr>
          <w:rFonts w:ascii="宋体" w:hAnsi="宋体"/>
          <w:szCs w:val="21"/>
        </w:rPr>
        <w:t>℃范围内</w:t>
      </w:r>
      <w:r>
        <w:rPr>
          <w:rFonts w:hAnsi="宋体"/>
          <w:szCs w:val="21"/>
        </w:rPr>
        <w:t>，</w:t>
      </w:r>
      <w:r>
        <w:rPr>
          <w:rFonts w:hint="eastAsia" w:hAnsi="宋体"/>
          <w:szCs w:val="21"/>
        </w:rPr>
        <w:t>相对</w:t>
      </w:r>
      <w:r>
        <w:rPr>
          <w:rFonts w:hAnsi="宋体"/>
          <w:szCs w:val="21"/>
        </w:rPr>
        <w:t>湿度</w:t>
      </w:r>
      <w:r>
        <w:rPr>
          <w:rFonts w:hint="eastAsia" w:hAnsi="宋体"/>
          <w:szCs w:val="21"/>
        </w:rPr>
        <w:t>：</w:t>
      </w:r>
      <w:r>
        <w:rPr>
          <w:rFonts w:hint="eastAsia" w:ascii="宋体" w:hAnsi="宋体"/>
          <w:szCs w:val="21"/>
        </w:rPr>
        <w:t>≤</w:t>
      </w:r>
      <w:r>
        <w:rPr>
          <w:rFonts w:hint="eastAsia"/>
          <w:szCs w:val="21"/>
        </w:rPr>
        <w:t>70</w:t>
      </w:r>
      <w:r>
        <w:rPr>
          <w:szCs w:val="21"/>
        </w:rPr>
        <w:t>%</w:t>
      </w:r>
      <w:r>
        <w:rPr>
          <w:rFonts w:hAnsi="宋体"/>
          <w:szCs w:val="21"/>
        </w:rPr>
        <w:t>。</w:t>
      </w:r>
      <w:r>
        <w:rPr>
          <w:rFonts w:ascii="宋体" w:hAnsi="宋体"/>
        </w:rPr>
        <w:t>环境应清洁</w:t>
      </w:r>
      <w:r>
        <w:rPr>
          <w:rFonts w:hint="eastAsia" w:ascii="宋体" w:hAnsi="宋体"/>
        </w:rPr>
        <w:t>，</w:t>
      </w:r>
      <w:r>
        <w:rPr>
          <w:rFonts w:ascii="宋体" w:hAnsi="宋体"/>
        </w:rPr>
        <w:t>无腐蚀性气体</w:t>
      </w:r>
      <w:r>
        <w:rPr>
          <w:rFonts w:hint="eastAsia" w:ascii="宋体" w:hAnsi="宋体"/>
        </w:rPr>
        <w:t>，</w:t>
      </w:r>
      <w:r>
        <w:rPr>
          <w:rFonts w:ascii="宋体" w:hAnsi="宋体"/>
        </w:rPr>
        <w:t>周围无影响仪器正常工作的</w:t>
      </w:r>
      <w:r>
        <w:rPr>
          <w:rFonts w:hint="eastAsia" w:ascii="宋体" w:hAnsi="宋体"/>
        </w:rPr>
        <w:t>粉尘、震</w:t>
      </w:r>
      <w:r>
        <w:rPr>
          <w:rFonts w:ascii="宋体" w:hAnsi="宋体"/>
        </w:rPr>
        <w:t>动和电磁场的干扰</w:t>
      </w:r>
      <w:r>
        <w:rPr>
          <w:rFonts w:hint="eastAsia" w:ascii="宋体" w:hAnsi="宋体"/>
        </w:rPr>
        <w:t>。</w:t>
      </w:r>
      <w:bookmarkStart w:id="19" w:name="_Toc519778266"/>
      <w:bookmarkStart w:id="20" w:name="_Toc31422"/>
    </w:p>
    <w:p w14:paraId="0A98FC23">
      <w:pPr>
        <w:rPr>
          <w:rFonts w:ascii="宋体" w:hAnsi="宋体" w:eastAsia="宋体" w:cs="宋体"/>
        </w:rPr>
      </w:pPr>
    </w:p>
    <w:p w14:paraId="2A0D7EDE">
      <w:pPr>
        <w:rPr>
          <w:rFonts w:ascii="宋体" w:hAnsi="宋体" w:eastAsia="宋体" w:cs="宋体"/>
        </w:rPr>
      </w:pPr>
      <w:r>
        <w:rPr>
          <w:rFonts w:hint="eastAsia" w:ascii="宋体" w:hAnsi="宋体" w:eastAsia="宋体" w:cs="宋体"/>
        </w:rPr>
        <w:t>6.2  测量标准及其他设备</w:t>
      </w:r>
      <w:bookmarkEnd w:id="19"/>
      <w:bookmarkEnd w:id="20"/>
    </w:p>
    <w:p w14:paraId="62C8CE4F">
      <w:pPr>
        <w:rPr>
          <w:rFonts w:ascii="宋体" w:hAnsi="宋体" w:eastAsia="宋体" w:cs="宋体"/>
        </w:rPr>
      </w:pPr>
      <w:r>
        <w:rPr>
          <w:rFonts w:hint="eastAsia" w:ascii="宋体" w:hAnsi="宋体" w:eastAsia="宋体" w:cs="宋体"/>
        </w:rPr>
        <w:t xml:space="preserve">6.2.1 </w:t>
      </w:r>
      <w:r>
        <w:rPr>
          <w:rFonts w:hint="eastAsia" w:eastAsia="宋体"/>
        </w:rPr>
        <w:t>光度测量装置</w:t>
      </w:r>
    </w:p>
    <w:p w14:paraId="4C9F875D">
      <w:pPr>
        <w:ind w:firstLine="420"/>
        <w:rPr>
          <w:rFonts w:eastAsia="宋体"/>
        </w:rPr>
      </w:pPr>
      <w:r>
        <w:rPr>
          <w:rFonts w:hint="eastAsia" w:eastAsia="宋体"/>
        </w:rPr>
        <w:t>由光学导轨、可调接收器夹具、滑车、可调架、光阑等组成。光学导轨长度不</w:t>
      </w:r>
      <w:r>
        <w:t>短</w:t>
      </w:r>
      <w:r>
        <w:rPr>
          <w:rFonts w:hint="eastAsia" w:eastAsia="宋体"/>
        </w:rPr>
        <w:t>于5 m，平直性良好，平直偏差不超出</w:t>
      </w:r>
      <w:r>
        <w:rPr>
          <w:rFonts w:eastAsia="宋体"/>
        </w:rPr>
        <w:t>±</w:t>
      </w:r>
      <w:r>
        <w:rPr>
          <w:rFonts w:hint="eastAsia" w:eastAsia="宋体"/>
        </w:rPr>
        <w:t>1 mm。测距米尺最小刻度1 mm，使用游标至少可分辨0.1 mm，距离测量结果误差不超出</w:t>
      </w:r>
      <w:r>
        <w:rPr>
          <w:rFonts w:eastAsia="宋体"/>
        </w:rPr>
        <w:t>±</w:t>
      </w:r>
      <w:r>
        <w:rPr>
          <w:rFonts w:hint="eastAsia" w:eastAsia="宋体"/>
        </w:rPr>
        <w:t>0.2 mm/m。装置各部件表面均应为</w:t>
      </w:r>
      <w:r>
        <w:rPr>
          <w:rFonts w:hint="eastAsia" w:ascii="宋体" w:hAnsi="宋体"/>
          <w:szCs w:val="21"/>
        </w:rPr>
        <w:t>哑光</w:t>
      </w:r>
      <w:r>
        <w:rPr>
          <w:rFonts w:hint="eastAsia" w:eastAsia="宋体"/>
        </w:rPr>
        <w:t>黑色。</w:t>
      </w:r>
    </w:p>
    <w:p w14:paraId="1F18CC62">
      <w:pPr>
        <w:pStyle w:val="41"/>
        <w:spacing w:line="288" w:lineRule="auto"/>
        <w:rPr>
          <w:rFonts w:cs="宋体"/>
        </w:rPr>
      </w:pPr>
      <w:r>
        <w:rPr>
          <w:rFonts w:hint="eastAsia" w:cs="宋体"/>
        </w:rPr>
        <w:t>6.2.2 发光强度标准灯</w:t>
      </w:r>
    </w:p>
    <w:p w14:paraId="15659E07">
      <w:pPr>
        <w:ind w:firstLine="420"/>
        <w:rPr>
          <w:rFonts w:ascii="宋体" w:hAnsi="宋体" w:eastAsia="宋体" w:cs="宋体"/>
        </w:rPr>
      </w:pPr>
      <w:r>
        <w:rPr>
          <w:rFonts w:hint="eastAsia" w:ascii="宋体" w:hAnsi="宋体" w:eastAsia="宋体" w:cs="宋体"/>
        </w:rPr>
        <w:t>不低于二级发光强度标准灯的技术要求。</w:t>
      </w:r>
    </w:p>
    <w:p w14:paraId="766C1E86">
      <w:pPr>
        <w:rPr>
          <w:rFonts w:ascii="宋体" w:hAnsi="宋体" w:eastAsia="宋体" w:cs="宋体"/>
        </w:rPr>
      </w:pPr>
      <w:r>
        <w:rPr>
          <w:rFonts w:hint="eastAsia" w:ascii="宋体" w:hAnsi="宋体" w:eastAsia="宋体" w:cs="宋体"/>
        </w:rPr>
        <w:t>6.2.3 LED标准管（总光通量）</w:t>
      </w:r>
    </w:p>
    <w:p w14:paraId="2CDBEC6C">
      <w:pPr>
        <w:ind w:firstLine="420"/>
        <w:rPr>
          <w:rFonts w:ascii="宋体" w:hAnsi="宋体" w:eastAsia="宋体" w:cs="宋体"/>
        </w:rPr>
      </w:pPr>
      <w:r>
        <w:rPr>
          <w:rFonts w:hint="eastAsia" w:ascii="宋体" w:hAnsi="宋体" w:eastAsia="宋体" w:cs="宋体"/>
        </w:rPr>
        <w:t>LED标准管应满足JJF 1501-2015 小功率LED单管校准规范中5规定的总光通量计量特性相关的技术要求</w:t>
      </w:r>
    </w:p>
    <w:p w14:paraId="0C09BAE3">
      <w:pPr>
        <w:rPr>
          <w:rFonts w:ascii="宋体" w:hAnsi="宋体" w:eastAsia="宋体" w:cs="宋体"/>
        </w:rPr>
      </w:pPr>
      <w:r>
        <w:rPr>
          <w:rFonts w:hint="eastAsia" w:ascii="宋体" w:hAnsi="宋体" w:eastAsia="宋体" w:cs="宋体"/>
        </w:rPr>
        <w:t>6.2.4 光纤光源</w:t>
      </w:r>
    </w:p>
    <w:p w14:paraId="6C534D29">
      <w:pPr>
        <w:ind w:firstLine="420"/>
        <w:rPr>
          <w:rFonts w:ascii="宋体" w:hAnsi="宋体" w:eastAsia="宋体" w:cs="宋体"/>
        </w:rPr>
      </w:pPr>
      <w:r>
        <w:rPr>
          <w:rFonts w:hint="eastAsia" w:ascii="宋体" w:hAnsi="宋体" w:eastAsia="宋体" w:cs="宋体"/>
        </w:rPr>
        <w:t>光纤光源的光通量重复性应优于1%。</w:t>
      </w:r>
    </w:p>
    <w:p w14:paraId="52C40EA9">
      <w:pPr>
        <w:rPr>
          <w:rFonts w:ascii="宋体" w:hAnsi="宋体" w:eastAsia="宋体" w:cs="宋体"/>
        </w:rPr>
      </w:pPr>
      <w:r>
        <w:rPr>
          <w:rFonts w:hint="eastAsia" w:ascii="宋体" w:hAnsi="宋体" w:eastAsia="宋体" w:cs="宋体"/>
        </w:rPr>
        <w:t>6.2.5 标准光通量计</w:t>
      </w:r>
    </w:p>
    <w:p w14:paraId="46735178">
      <w:pPr>
        <w:ind w:firstLine="420"/>
        <w:rPr>
          <w:rFonts w:ascii="宋体" w:hAnsi="宋体" w:eastAsia="宋体" w:cs="宋体"/>
          <w:b/>
          <w:bCs/>
        </w:rPr>
      </w:pPr>
      <w:r>
        <w:rPr>
          <w:rFonts w:hint="eastAsia" w:ascii="宋体" w:hAnsi="宋体" w:eastAsia="宋体" w:cs="宋体"/>
        </w:rPr>
        <w:t>标准光通量计的校准不确定度优于</w:t>
      </w:r>
      <w:r>
        <w:rPr>
          <w:rFonts w:hint="eastAsia" w:ascii="宋体" w:hAnsi="宋体" w:eastAsia="宋体" w:cs="宋体"/>
          <w:i/>
          <w:iCs/>
        </w:rPr>
        <w:t>U</w:t>
      </w:r>
      <w:r>
        <w:rPr>
          <w:rFonts w:hint="eastAsia" w:ascii="宋体" w:hAnsi="宋体" w:eastAsia="宋体" w:cs="宋体"/>
          <w:vertAlign w:val="subscript"/>
        </w:rPr>
        <w:t>rel</w:t>
      </w:r>
      <w:r>
        <w:rPr>
          <w:rFonts w:hint="eastAsia" w:ascii="宋体" w:hAnsi="宋体" w:eastAsia="宋体" w:cs="宋体"/>
        </w:rPr>
        <w:t>=2.5%(</w:t>
      </w:r>
      <w:r>
        <w:rPr>
          <w:rFonts w:hint="eastAsia" w:ascii="宋体" w:hAnsi="宋体" w:eastAsia="宋体" w:cs="宋体"/>
          <w:i/>
          <w:iCs/>
        </w:rPr>
        <w:t>k</w:t>
      </w:r>
      <w:r>
        <w:rPr>
          <w:rFonts w:hint="eastAsia" w:ascii="宋体" w:hAnsi="宋体" w:eastAsia="宋体" w:cs="宋体"/>
        </w:rPr>
        <w:t>=2)。</w:t>
      </w:r>
    </w:p>
    <w:p w14:paraId="51094DE5">
      <w:pPr>
        <w:rPr>
          <w:rFonts w:ascii="宋体" w:hAnsi="宋体" w:eastAsia="宋体" w:cs="宋体"/>
        </w:rPr>
      </w:pPr>
      <w:r>
        <w:rPr>
          <w:rFonts w:hint="eastAsia" w:ascii="宋体" w:hAnsi="宋体" w:eastAsia="宋体" w:cs="宋体"/>
        </w:rPr>
        <w:t>6.2.6 电测系统</w:t>
      </w:r>
    </w:p>
    <w:p w14:paraId="6CFE3A35">
      <w:pPr>
        <w:ind w:firstLine="420"/>
        <w:rPr>
          <w:rFonts w:ascii="宋体" w:hAnsi="宋体" w:eastAsia="宋体" w:cs="宋体"/>
        </w:rPr>
      </w:pPr>
      <w:r>
        <w:rPr>
          <w:rFonts w:hint="eastAsia" w:ascii="宋体" w:hAnsi="宋体" w:eastAsia="宋体" w:cs="宋体"/>
        </w:rPr>
        <w:t>使用发光强度标准灯时，标准灯的电测系统和供电方式应满足JJG 246-2005 发光强度标准灯检定规程中6.1.1.3供电电源和电测仪表的性能要求。</w:t>
      </w:r>
    </w:p>
    <w:p w14:paraId="700BF24C">
      <w:pPr>
        <w:ind w:firstLine="420"/>
        <w:rPr>
          <w:rFonts w:ascii="宋体" w:hAnsi="宋体" w:eastAsia="宋体" w:cs="宋体"/>
        </w:rPr>
      </w:pPr>
      <w:r>
        <w:rPr>
          <w:rFonts w:hint="eastAsia" w:ascii="宋体" w:hAnsi="宋体" w:eastAsia="宋体" w:cs="宋体"/>
        </w:rPr>
        <w:t>使用LED标准管时，电测系统和供电方式应满足JJF 1501-2015 小功率LED单管校准规范中6.2.7电源和电测仪表的性能要求。</w:t>
      </w:r>
    </w:p>
    <w:p w14:paraId="155B2EF2">
      <w:pPr>
        <w:pStyle w:val="21"/>
      </w:pPr>
      <w:bookmarkStart w:id="21" w:name="_Toc3613"/>
      <w:bookmarkStart w:id="22" w:name="_Toc301161829"/>
      <w:bookmarkStart w:id="23" w:name="_Toc10654"/>
      <w:r>
        <w:rPr>
          <w:rFonts w:hint="eastAsia"/>
        </w:rPr>
        <w:t>7  校准项目和校准方法</w:t>
      </w:r>
      <w:bookmarkEnd w:id="21"/>
      <w:bookmarkEnd w:id="22"/>
      <w:bookmarkEnd w:id="23"/>
    </w:p>
    <w:p w14:paraId="6624AB97">
      <w:pPr>
        <w:rPr>
          <w:rFonts w:ascii="宋体" w:hAnsi="宋体" w:eastAsia="宋体" w:cs="宋体"/>
        </w:rPr>
      </w:pPr>
      <w:bookmarkStart w:id="24" w:name="_Toc21003"/>
      <w:bookmarkStart w:id="25" w:name="_Toc519778268"/>
      <w:r>
        <w:rPr>
          <w:rFonts w:hint="eastAsia" w:ascii="宋体" w:hAnsi="宋体" w:eastAsia="宋体" w:cs="宋体"/>
        </w:rPr>
        <w:t>7.1 校准项目</w:t>
      </w:r>
      <w:bookmarkEnd w:id="24"/>
      <w:bookmarkEnd w:id="25"/>
    </w:p>
    <w:p w14:paraId="27D7AA1B">
      <w:pPr>
        <w:rPr>
          <w:rFonts w:ascii="宋体" w:hAnsi="宋体" w:eastAsia="宋体" w:cs="宋体"/>
        </w:rPr>
      </w:pPr>
      <w:r>
        <w:rPr>
          <w:rFonts w:hint="eastAsia" w:ascii="宋体" w:hAnsi="宋体" w:eastAsia="宋体" w:cs="宋体"/>
        </w:rPr>
        <w:tab/>
      </w:r>
      <w:r>
        <w:rPr>
          <w:rFonts w:hint="eastAsia" w:ascii="宋体" w:hAnsi="宋体" w:eastAsia="宋体" w:cs="宋体"/>
        </w:rPr>
        <w:t>光通量示值误差</w:t>
      </w:r>
    </w:p>
    <w:p w14:paraId="17A59704">
      <w:pPr>
        <w:rPr>
          <w:rFonts w:ascii="宋体" w:hAnsi="宋体" w:eastAsia="宋体" w:cs="宋体"/>
        </w:rPr>
      </w:pPr>
      <w:bookmarkStart w:id="26" w:name="_Toc519778269"/>
      <w:bookmarkStart w:id="27" w:name="_Toc15032"/>
    </w:p>
    <w:p w14:paraId="469F39B0">
      <w:pPr>
        <w:rPr>
          <w:rFonts w:ascii="宋体" w:hAnsi="宋体" w:eastAsia="宋体" w:cs="宋体"/>
        </w:rPr>
      </w:pPr>
      <w:r>
        <w:rPr>
          <w:rFonts w:hint="eastAsia" w:ascii="宋体" w:hAnsi="宋体" w:eastAsia="宋体" w:cs="宋体"/>
        </w:rPr>
        <w:t>7.2 校准方法</w:t>
      </w:r>
      <w:bookmarkEnd w:id="26"/>
      <w:bookmarkEnd w:id="27"/>
    </w:p>
    <w:p w14:paraId="6574E87B">
      <w:pPr>
        <w:rPr>
          <w:rFonts w:ascii="宋体" w:hAnsi="宋体" w:eastAsia="宋体" w:cs="宋体"/>
        </w:rPr>
      </w:pPr>
      <w:r>
        <w:rPr>
          <w:rFonts w:hint="eastAsia" w:ascii="宋体" w:hAnsi="宋体" w:eastAsia="宋体" w:cs="宋体"/>
        </w:rPr>
        <w:t>7.2.1 实验前准备</w:t>
      </w:r>
    </w:p>
    <w:p w14:paraId="5107A4D4">
      <w:pPr>
        <w:ind w:firstLine="420"/>
        <w:rPr>
          <w:rFonts w:ascii="宋体" w:hAnsi="宋体" w:eastAsia="宋体" w:cs="宋体"/>
        </w:rPr>
      </w:pPr>
      <w:r>
        <w:rPr>
          <w:rFonts w:hint="eastAsia" w:ascii="宋体" w:hAnsi="宋体" w:eastAsia="宋体" w:cs="宋体"/>
        </w:rPr>
        <w:t>用目视法检查，待测光通量计外观存在明显影响量值的缺陷时，应中止校准。</w:t>
      </w:r>
    </w:p>
    <w:p w14:paraId="2D4B334E">
      <w:pPr>
        <w:rPr>
          <w:rFonts w:ascii="宋体" w:hAnsi="宋体" w:eastAsia="宋体" w:cs="宋体"/>
        </w:rPr>
      </w:pPr>
    </w:p>
    <w:p w14:paraId="38FC0C75">
      <w:pPr>
        <w:rPr>
          <w:rFonts w:ascii="宋体" w:hAnsi="宋体" w:eastAsia="宋体" w:cs="宋体"/>
        </w:rPr>
      </w:pPr>
      <w:r>
        <w:rPr>
          <w:rFonts w:hint="eastAsia" w:ascii="宋体" w:hAnsi="宋体" w:eastAsia="宋体" w:cs="宋体"/>
        </w:rPr>
        <w:t>7.2.2 校准过程</w:t>
      </w:r>
    </w:p>
    <w:p w14:paraId="3876A52B">
      <w:pPr>
        <w:ind w:firstLine="420"/>
        <w:rPr>
          <w:rFonts w:ascii="宋体" w:hAnsi="宋体" w:eastAsia="宋体" w:cs="宋体"/>
        </w:rPr>
      </w:pPr>
      <w:r>
        <w:rPr>
          <w:rFonts w:hint="eastAsia" w:ascii="宋体" w:hAnsi="宋体" w:eastAsia="宋体" w:cs="宋体"/>
        </w:rPr>
        <w:t>校准时，视校准需求可采用标准光源法或者标准光通量计法。标准光源法可以采用发光强度标准灯或LED标准管。采用标准光通量计时，参比光源是光纤光源。</w:t>
      </w:r>
    </w:p>
    <w:p w14:paraId="3AAB3318">
      <w:pPr>
        <w:rPr>
          <w:rFonts w:ascii="宋体" w:hAnsi="宋体" w:eastAsia="宋体" w:cs="宋体"/>
        </w:rPr>
      </w:pPr>
    </w:p>
    <w:p w14:paraId="54D3FCB4">
      <w:pPr>
        <w:rPr>
          <w:rFonts w:ascii="宋体" w:hAnsi="宋体" w:eastAsia="宋体" w:cs="宋体"/>
        </w:rPr>
      </w:pPr>
      <w:r>
        <w:rPr>
          <w:rFonts w:hint="eastAsia" w:ascii="宋体" w:hAnsi="宋体" w:eastAsia="宋体" w:cs="宋体"/>
        </w:rPr>
        <w:t>7.2.2.1 采用发光强度标准灯</w:t>
      </w:r>
    </w:p>
    <w:p w14:paraId="63926F30">
      <w:pPr>
        <w:numPr>
          <w:ilvl w:val="0"/>
          <w:numId w:val="3"/>
        </w:numPr>
        <w:adjustRightInd w:val="0"/>
        <w:snapToGrid w:val="0"/>
        <w:ind w:firstLine="420"/>
        <w:jc w:val="left"/>
        <w:rPr>
          <w:rFonts w:asciiTheme="minorEastAsia" w:hAnsiTheme="minorEastAsia"/>
        </w:rPr>
      </w:pPr>
      <w:r>
        <w:rPr>
          <w:rFonts w:hint="eastAsia" w:ascii="宋体" w:hAnsi="宋体" w:eastAsia="宋体" w:cs="宋体"/>
        </w:rPr>
        <w:t>校准装置的调整和预热。</w:t>
      </w:r>
      <w:r>
        <w:rPr>
          <w:rFonts w:hint="eastAsia" w:hAnsi="Cambria Math" w:cs="宋体"/>
        </w:rPr>
        <w:t>在光学导轨上，安装开口积分球在可调安装架上，使积分球开口面垂直于光轨的水平测量轴线、中心位于该轴线上，且开口朝向标准灯。标准灯安装在可调灯架上，按照图2规定的方式连接测量电路，灯丝平面垂直于光轨的水平测量轴线、中心位于该轴线上，且工作面朝向开口积分球。在灯与积分球开口之间适当位置放置</w:t>
      </w:r>
      <w:r>
        <w:rPr>
          <w:rFonts w:hint="eastAsia" w:hAnsi="Cambria Math" w:cs="宋体"/>
          <w:lang w:eastAsia="zh-CN"/>
        </w:rPr>
        <w:t>光阑</w:t>
      </w:r>
      <w:r>
        <w:rPr>
          <w:rFonts w:hint="eastAsia" w:hAnsi="Cambria Math" w:cs="宋体"/>
        </w:rPr>
        <w:t>，遮挡测量装置周围和内部反射的杂散光，使其不能射入到开口积分球的探测面上。除限制</w:t>
      </w:r>
      <w:r>
        <w:rPr>
          <w:rFonts w:hint="eastAsia" w:hAnsi="Cambria Math" w:cs="宋体"/>
          <w:lang w:eastAsia="zh-CN"/>
        </w:rPr>
        <w:t>光阑</w:t>
      </w:r>
      <w:r>
        <w:rPr>
          <w:rFonts w:hint="eastAsia" w:hAnsi="Cambria Math" w:cs="宋体"/>
        </w:rPr>
        <w:t>外，其余</w:t>
      </w:r>
      <w:r>
        <w:rPr>
          <w:rFonts w:hint="eastAsia" w:hAnsi="Cambria Math" w:cs="宋体"/>
          <w:lang w:eastAsia="zh-CN"/>
        </w:rPr>
        <w:t>光阑</w:t>
      </w:r>
      <w:r>
        <w:rPr>
          <w:rFonts w:hint="eastAsia" w:hAnsi="Cambria Math" w:cs="宋体"/>
        </w:rPr>
        <w:t>大小和位置设置应合理，不能遮挡灯发光面直射到探测面上的光线。积分球开口测量轴线位置前方放置面积已知的限制</w:t>
      </w:r>
      <w:r>
        <w:rPr>
          <w:rFonts w:hint="eastAsia" w:hAnsi="Cambria Math" w:cs="宋体"/>
          <w:lang w:eastAsia="zh-CN"/>
        </w:rPr>
        <w:t>光阑</w:t>
      </w:r>
      <w:r>
        <w:rPr>
          <w:rFonts w:hint="eastAsia" w:hAnsi="Cambria Math" w:cs="宋体"/>
        </w:rPr>
        <w:t>，标准灯通过限制</w:t>
      </w:r>
      <w:r>
        <w:rPr>
          <w:rFonts w:hint="eastAsia" w:hAnsi="Cambria Math" w:cs="宋体"/>
          <w:lang w:eastAsia="zh-CN"/>
        </w:rPr>
        <w:t>光阑</w:t>
      </w:r>
      <w:r>
        <w:rPr>
          <w:rFonts w:hint="eastAsia" w:hAnsi="Cambria Math" w:cs="宋体"/>
        </w:rPr>
        <w:t>后的所有光线应全部被积分球开口收集；如果限制</w:t>
      </w:r>
      <w:r>
        <w:rPr>
          <w:rFonts w:hint="eastAsia" w:hAnsi="Cambria Math" w:cs="宋体"/>
          <w:b/>
          <w:color w:val="FF0000"/>
          <w:lang w:eastAsia="zh-CN"/>
        </w:rPr>
        <w:t>光阑</w:t>
      </w:r>
      <w:r>
        <w:rPr>
          <w:rFonts w:hint="eastAsia" w:hAnsi="Cambria Math" w:cs="宋体"/>
        </w:rPr>
        <w:t>不适用，则需测量积分球开口面积，并认为该积分球开口等同于限制</w:t>
      </w:r>
      <w:r>
        <w:rPr>
          <w:rFonts w:hint="eastAsia" w:hAnsi="Cambria Math" w:cs="宋体"/>
          <w:b/>
          <w:color w:val="FF0000"/>
          <w:lang w:eastAsia="zh-CN"/>
        </w:rPr>
        <w:t>光阑</w:t>
      </w:r>
      <w:r>
        <w:rPr>
          <w:rFonts w:hint="eastAsia" w:hAnsi="Cambria Math" w:cs="宋体"/>
        </w:rPr>
        <w:t>。标准灯和开口积分球的安装示意图见图3。电源、电测设备和待测</w:t>
      </w:r>
      <w:r>
        <w:rPr>
          <w:rFonts w:hint="eastAsia" w:asciiTheme="minorEastAsia" w:hAnsiTheme="minorEastAsia"/>
        </w:rPr>
        <w:t>光通量计</w:t>
      </w:r>
      <w:r>
        <w:rPr>
          <w:rFonts w:hint="eastAsia" w:hAnsi="Cambria Math" w:cs="宋体"/>
        </w:rPr>
        <w:t>预热30 min以上</w:t>
      </w:r>
      <w:r>
        <w:rPr>
          <w:rFonts w:hint="eastAsia" w:asciiTheme="minorEastAsia" w:hAnsiTheme="minorEastAsia"/>
        </w:rPr>
        <w:t>。</w:t>
      </w:r>
    </w:p>
    <w:p w14:paraId="03C07090">
      <w:pPr>
        <w:numPr>
          <w:ilvl w:val="255"/>
          <w:numId w:val="0"/>
        </w:numPr>
        <w:adjustRightInd w:val="0"/>
        <w:snapToGrid w:val="0"/>
        <w:jc w:val="center"/>
        <w:rPr>
          <w:position w:val="-20"/>
        </w:rPr>
      </w:pPr>
      <w:r>
        <w:rPr>
          <w:rFonts w:hint="eastAsia"/>
          <w:position w:val="-20"/>
        </w:rPr>
        <w:drawing>
          <wp:inline distT="0" distB="0" distL="114300" distR="114300">
            <wp:extent cx="2276475" cy="1358900"/>
            <wp:effectExtent l="0" t="0" r="9525" b="12700"/>
            <wp:docPr id="14" name="图片 14" descr="四线接线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四线接线图-1"/>
                    <pic:cNvPicPr>
                      <a:picLocks noChangeAspect="1"/>
                    </pic:cNvPicPr>
                  </pic:nvPicPr>
                  <pic:blipFill>
                    <a:blip r:embed="rId23"/>
                    <a:stretch>
                      <a:fillRect/>
                    </a:stretch>
                  </pic:blipFill>
                  <pic:spPr>
                    <a:xfrm>
                      <a:off x="0" y="0"/>
                      <a:ext cx="2276475" cy="1358900"/>
                    </a:xfrm>
                    <a:prstGeom prst="rect">
                      <a:avLst/>
                    </a:prstGeom>
                  </pic:spPr>
                </pic:pic>
              </a:graphicData>
            </a:graphic>
          </wp:inline>
        </w:drawing>
      </w:r>
    </w:p>
    <w:p w14:paraId="08AAFBEA">
      <w:pPr>
        <w:numPr>
          <w:ilvl w:val="255"/>
          <w:numId w:val="0"/>
        </w:numPr>
        <w:adjustRightInd w:val="0"/>
        <w:snapToGrid w:val="0"/>
        <w:jc w:val="center"/>
        <w:rPr>
          <w:position w:val="-20"/>
        </w:rPr>
      </w:pPr>
    </w:p>
    <w:p w14:paraId="228EEAF2">
      <w:pPr>
        <w:numPr>
          <w:ilvl w:val="255"/>
          <w:numId w:val="0"/>
        </w:numPr>
        <w:adjustRightInd w:val="0"/>
        <w:snapToGrid w:val="0"/>
        <w:jc w:val="center"/>
        <w:rPr>
          <w:position w:val="-20"/>
        </w:rPr>
      </w:pPr>
      <w:r>
        <w:rPr>
          <w:rFonts w:hint="eastAsia" w:asciiTheme="minorEastAsia" w:hAnsiTheme="minorEastAsia"/>
          <w:sz w:val="21"/>
          <w:szCs w:val="21"/>
        </w:rPr>
        <w:t>图2 直流供电与电测电路图</w:t>
      </w:r>
    </w:p>
    <w:p w14:paraId="5FD7FC76">
      <w:pPr>
        <w:numPr>
          <w:ilvl w:val="255"/>
          <w:numId w:val="0"/>
        </w:numPr>
        <w:adjustRightInd w:val="0"/>
        <w:snapToGrid w:val="0"/>
        <w:jc w:val="center"/>
        <w:rPr>
          <w:position w:val="-20"/>
        </w:rPr>
      </w:pPr>
    </w:p>
    <w:p w14:paraId="7BFD1DB2">
      <w:pPr>
        <w:numPr>
          <w:ilvl w:val="255"/>
          <w:numId w:val="0"/>
        </w:numPr>
        <w:adjustRightInd w:val="0"/>
        <w:snapToGrid w:val="0"/>
        <w:jc w:val="center"/>
      </w:pPr>
      <w:r>
        <w:drawing>
          <wp:inline distT="0" distB="0" distL="114300" distR="114300">
            <wp:extent cx="4416425" cy="1213485"/>
            <wp:effectExtent l="0" t="0" r="3175" b="5715"/>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24"/>
                    <a:stretch>
                      <a:fillRect/>
                    </a:stretch>
                  </pic:blipFill>
                  <pic:spPr>
                    <a:xfrm>
                      <a:off x="0" y="0"/>
                      <a:ext cx="4416425" cy="1213485"/>
                    </a:xfrm>
                    <a:prstGeom prst="rect">
                      <a:avLst/>
                    </a:prstGeom>
                    <a:noFill/>
                    <a:ln>
                      <a:noFill/>
                    </a:ln>
                  </pic:spPr>
                </pic:pic>
              </a:graphicData>
            </a:graphic>
          </wp:inline>
        </w:drawing>
      </w:r>
    </w:p>
    <w:p w14:paraId="386925E8">
      <w:pPr>
        <w:numPr>
          <w:ilvl w:val="255"/>
          <w:numId w:val="0"/>
        </w:numPr>
        <w:adjustRightInd w:val="0"/>
        <w:snapToGrid w:val="0"/>
        <w:jc w:val="center"/>
        <w:rPr>
          <w:rFonts w:hAnsi="Cambria Math" w:cs="宋体"/>
          <w:sz w:val="21"/>
          <w:szCs w:val="21"/>
        </w:rPr>
      </w:pPr>
      <w:r>
        <w:rPr>
          <w:rFonts w:hint="eastAsia" w:ascii="宋体" w:hAnsi="宋体" w:eastAsia="宋体" w:cs="宋体"/>
          <w:sz w:val="21"/>
          <w:szCs w:val="21"/>
        </w:rPr>
        <w:t>图3  标准灯和开口积分球的安装示</w:t>
      </w:r>
      <w:r>
        <w:rPr>
          <w:rFonts w:hint="eastAsia" w:hAnsi="Cambria Math" w:cs="宋体"/>
          <w:sz w:val="21"/>
          <w:szCs w:val="21"/>
        </w:rPr>
        <w:t>意图</w:t>
      </w:r>
    </w:p>
    <w:p w14:paraId="34E01304">
      <w:pPr>
        <w:numPr>
          <w:ilvl w:val="255"/>
          <w:numId w:val="0"/>
        </w:numPr>
        <w:adjustRightInd w:val="0"/>
        <w:snapToGrid w:val="0"/>
        <w:jc w:val="center"/>
        <w:rPr>
          <w:rFonts w:hAnsi="Cambria Math" w:cs="宋体"/>
        </w:rPr>
      </w:pPr>
    </w:p>
    <w:p w14:paraId="13466336">
      <w:pPr>
        <w:numPr>
          <w:ilvl w:val="0"/>
          <w:numId w:val="3"/>
        </w:numPr>
        <w:adjustRightInd w:val="0"/>
        <w:snapToGrid w:val="0"/>
        <w:ind w:firstLine="420"/>
        <w:jc w:val="left"/>
        <w:rPr>
          <w:rFonts w:asciiTheme="minorEastAsia" w:hAnsiTheme="minorEastAsia"/>
        </w:rPr>
      </w:pPr>
      <w:r>
        <w:rPr>
          <w:rFonts w:hint="eastAsia" w:ascii="宋体" w:hAnsi="宋体" w:eastAsia="宋体" w:cs="宋体"/>
        </w:rPr>
        <w:t>发光强度标准</w:t>
      </w:r>
      <w:r>
        <w:rPr>
          <w:rFonts w:hint="eastAsia" w:asciiTheme="minorEastAsia" w:hAnsiTheme="minorEastAsia"/>
        </w:rPr>
        <w:t xml:space="preserve">灯的点亮。标准灯在光学导轨上安装，完成7.2.2.1（1）规定的调整后点亮标准灯。标准灯按规定灯电流值点亮时，需避免过流、过压及极性反接，待标准灯发光稳定后开始测量，一般为3 </w:t>
      </w:r>
      <w:r>
        <w:t>~</w:t>
      </w:r>
      <w:r>
        <w:rPr>
          <w:rFonts w:hint="eastAsia" w:asciiTheme="minorEastAsia" w:hAnsiTheme="minorEastAsia"/>
        </w:rPr>
        <w:t xml:space="preserve"> 5 min。</w:t>
      </w:r>
    </w:p>
    <w:p w14:paraId="0E58D188">
      <w:pPr>
        <w:numPr>
          <w:ilvl w:val="0"/>
          <w:numId w:val="3"/>
        </w:numPr>
        <w:adjustRightInd w:val="0"/>
        <w:snapToGrid w:val="0"/>
        <w:ind w:firstLine="420"/>
        <w:jc w:val="left"/>
        <w:rPr>
          <w:rFonts w:asciiTheme="minorEastAsia" w:hAnsiTheme="minorEastAsia"/>
        </w:rPr>
      </w:pPr>
      <w:r>
        <w:rPr>
          <w:rFonts w:hint="eastAsia" w:asciiTheme="minorEastAsia" w:hAnsiTheme="minorEastAsia"/>
        </w:rPr>
        <w:t>数据记录。记录当前第</w:t>
      </w:r>
      <m:oMath>
        <m:r>
          <m:rPr/>
          <w:rPr>
            <w:rFonts w:ascii="Cambria Math" w:hAnsi="Cambria Math"/>
          </w:rPr>
          <m:t>i</m:t>
        </m:r>
      </m:oMath>
      <w:r>
        <w:rPr>
          <w:rFonts w:hint="eastAsia" w:asciiTheme="minorEastAsia" w:hAnsiTheme="minorEastAsia"/>
        </w:rPr>
        <w:t>次发光强度标准灯到积分球开口的距离</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asciiTheme="minorEastAsia" w:hAnsiTheme="minorEastAsia"/>
        </w:rPr>
        <w:t>，光通量计的读数</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i</m:t>
            </m:r>
            <m:ctrlPr>
              <w:rPr>
                <w:rFonts w:ascii="Cambria Math" w:hAnsi="Cambria Math" w:cs="宋体"/>
              </w:rPr>
            </m:ctrlPr>
          </m:sub>
        </m:sSub>
      </m:oMath>
      <w:r>
        <w:rPr>
          <w:rFonts w:hint="eastAsia" w:hAnsi="Cambria Math" w:cs="宋体"/>
        </w:rPr>
        <w:t>。</w:t>
      </w:r>
    </w:p>
    <w:p w14:paraId="006B09C1">
      <w:pPr>
        <w:numPr>
          <w:ilvl w:val="0"/>
          <w:numId w:val="3"/>
        </w:numPr>
        <w:adjustRightInd w:val="0"/>
        <w:snapToGrid w:val="0"/>
        <w:ind w:firstLine="420"/>
        <w:jc w:val="left"/>
        <w:rPr>
          <w:rFonts w:asciiTheme="minorEastAsia" w:hAnsiTheme="minorEastAsia"/>
        </w:rPr>
      </w:pPr>
      <w:r>
        <w:rPr>
          <w:rFonts w:hint="eastAsia" w:asciiTheme="minorEastAsia" w:hAnsiTheme="minorEastAsia"/>
        </w:rPr>
        <w:t>改变发光强度标准灯到积分球开口的距离，并重复7.2.2.1（3）的规定步骤。</w:t>
      </w:r>
    </w:p>
    <w:p w14:paraId="2561DF32">
      <w:pPr>
        <w:numPr>
          <w:ilvl w:val="0"/>
          <w:numId w:val="3"/>
        </w:numPr>
        <w:adjustRightInd w:val="0"/>
        <w:snapToGrid w:val="0"/>
        <w:ind w:firstLine="420"/>
        <w:jc w:val="left"/>
        <w:rPr>
          <w:rFonts w:asciiTheme="minorEastAsia" w:hAnsiTheme="minorEastAsia"/>
        </w:rPr>
      </w:pPr>
      <w:r>
        <w:rPr>
          <w:rFonts w:hint="eastAsia" w:asciiTheme="minorEastAsia" w:hAnsiTheme="minorEastAsia"/>
        </w:rPr>
        <w:t>根据校准范围的要求，调整发光强度标准灯类型，并按7.2.2.1（1）重新安装调整后重复7.2.2.1（2）到（4）的校准步骤。</w:t>
      </w:r>
    </w:p>
    <w:p w14:paraId="36BC4FD7">
      <w:pPr>
        <w:numPr>
          <w:ilvl w:val="0"/>
          <w:numId w:val="3"/>
        </w:numPr>
        <w:adjustRightInd w:val="0"/>
        <w:snapToGrid w:val="0"/>
        <w:ind w:firstLine="420"/>
        <w:jc w:val="left"/>
        <w:rPr>
          <w:rFonts w:ascii="宋体" w:hAnsi="宋体" w:eastAsia="宋体" w:cs="宋体"/>
        </w:rPr>
      </w:pPr>
      <w:r>
        <w:rPr>
          <w:rFonts w:hint="eastAsia" w:asciiTheme="minorEastAsia" w:hAnsiTheme="minorEastAsia"/>
        </w:rPr>
        <w:t>数据处理。</w:t>
      </w:r>
      <w:r>
        <w:rPr>
          <w:rFonts w:hint="eastAsia" w:ascii="宋体" w:hAnsi="宋体" w:eastAsia="宋体" w:cs="宋体"/>
        </w:rPr>
        <w:t>发光强度为</w:t>
      </w:r>
      <m:oMath>
        <m:sSub>
          <m:sSubPr>
            <m:ctrlPr>
              <w:rPr>
                <w:rFonts w:ascii="Cambria Math" w:hAnsi="Cambria Math" w:cs="宋体"/>
              </w:rPr>
            </m:ctrlPr>
          </m:sSubPr>
          <m:e>
            <m:r>
              <m:rPr/>
              <w:rPr>
                <w:rFonts w:ascii="Cambria Math" w:hAnsi="Cambria Math" w:cs="宋体"/>
              </w:rPr>
              <m:t>I</m:t>
            </m:r>
            <m:ctrlPr>
              <w:rPr>
                <w:rFonts w:ascii="Cambria Math" w:hAnsi="Cambria Math" w:cs="宋体"/>
              </w:rPr>
            </m:ctrlPr>
          </m:e>
          <m:sub>
            <m:r>
              <m:rPr>
                <m:sty m:val="p"/>
              </m:rPr>
              <w:rPr>
                <w:rFonts w:ascii="Cambria Math" w:hAnsi="Cambria Math" w:cs="宋体"/>
              </w:rPr>
              <m:t>s</m:t>
            </m:r>
            <m:ctrlPr>
              <w:rPr>
                <w:rFonts w:ascii="Cambria Math" w:hAnsi="Cambria Math" w:cs="宋体"/>
              </w:rPr>
            </m:ctrlPr>
          </m:sub>
        </m:sSub>
      </m:oMath>
      <w:r>
        <w:rPr>
          <w:rFonts w:hint="eastAsia" w:hAnsi="Cambria Math" w:cs="宋体"/>
        </w:rPr>
        <w:t>的</w:t>
      </w:r>
      <w:r>
        <w:rPr>
          <w:rFonts w:hint="eastAsia" w:ascii="宋体" w:hAnsi="宋体" w:eastAsia="宋体" w:cs="宋体"/>
        </w:rPr>
        <w:t>发光强度标准灯在一定距离处产生均匀光照场，通过面积为</w:t>
      </w:r>
      <m:oMath>
        <m:r>
          <m:rPr/>
          <w:rPr>
            <w:rFonts w:ascii="Cambria Math" w:hAnsi="Cambria Math" w:cs="宋体"/>
          </w:rPr>
          <m:t>A</m:t>
        </m:r>
      </m:oMath>
      <w:r>
        <w:rPr>
          <w:rFonts w:hint="eastAsia" w:ascii="宋体" w:hAnsi="宋体" w:eastAsia="宋体" w:cs="宋体"/>
        </w:rPr>
        <w:t>的限制</w:t>
      </w:r>
      <w:r>
        <w:rPr>
          <w:rFonts w:hint="eastAsia" w:ascii="宋体" w:hAnsi="宋体" w:eastAsia="宋体" w:cs="宋体"/>
          <w:b/>
          <w:color w:val="FF0000"/>
          <w:lang w:eastAsia="zh-CN"/>
        </w:rPr>
        <w:t>光阑</w:t>
      </w:r>
      <w:r>
        <w:rPr>
          <w:rFonts w:hint="eastAsia" w:ascii="宋体" w:hAnsi="宋体" w:eastAsia="宋体" w:cs="宋体"/>
        </w:rPr>
        <w:t>（或积分球开口，以限制面为准）后，在第</w:t>
      </w:r>
      <m:oMath>
        <m:r>
          <m:rPr/>
          <w:rPr>
            <w:rFonts w:ascii="Cambria Math" w:hAnsi="Cambria Math"/>
          </w:rPr>
          <m:t>i</m:t>
        </m:r>
      </m:oMath>
      <w:r>
        <w:rPr>
          <w:rFonts w:hint="eastAsia" w:asciiTheme="minorEastAsia" w:hAnsiTheme="minorEastAsia"/>
        </w:rPr>
        <w:t>次测试时，</w:t>
      </w:r>
      <w:r>
        <w:rPr>
          <w:rFonts w:hint="eastAsia" w:ascii="宋体" w:hAnsi="宋体" w:eastAsia="宋体" w:cs="宋体"/>
        </w:rPr>
        <w:t>其光束的光通量标准值</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i</m:t>
            </m:r>
            <m:ctrlPr>
              <w:rPr>
                <w:rFonts w:ascii="Cambria Math" w:hAnsi="Cambria Math" w:cs="宋体"/>
              </w:rPr>
            </m:ctrlPr>
          </m:sub>
        </m:sSub>
      </m:oMath>
      <w:r>
        <w:rPr>
          <w:rFonts w:hint="eastAsia" w:ascii="宋体" w:hAnsi="宋体" w:eastAsia="宋体" w:cs="宋体"/>
        </w:rPr>
        <w:t>为</w:t>
      </w:r>
    </w:p>
    <w:p w14:paraId="714FC5CE">
      <w:pPr>
        <w:ind w:firstLine="420"/>
        <w:jc w:val="right"/>
        <w:rPr>
          <w:rFonts w:hint="eastAsia" w:ascii="宋体" w:hAnsi="宋体" w:cs="宋体" w:eastAsiaTheme="minorEastAsia"/>
          <w:lang w:val="en-US" w:eastAsia="zh-CN"/>
        </w:rPr>
      </w:pP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i</m:t>
            </m:r>
            <m:ctrlPr>
              <w:rPr>
                <w:rFonts w:ascii="Cambria Math" w:hAnsi="Cambria Math" w:cs="宋体"/>
              </w:rPr>
            </m:ctrlPr>
          </m:sub>
        </m:sSub>
        <m:r>
          <m:rPr/>
          <w:rPr>
            <w:rFonts w:hint="eastAsia" w:ascii="Cambria Math" w:hAnsi="Cambria Math" w:cs="宋体"/>
          </w:rPr>
          <m:t>=</m:t>
        </m:r>
        <m:f>
          <m:fPr>
            <m:ctrlPr>
              <w:rPr>
                <w:rFonts w:hint="eastAsia" w:ascii="Cambria Math" w:hAnsi="Cambria Math" w:cs="宋体"/>
              </w:rPr>
            </m:ctrlPr>
          </m:fPr>
          <m:num>
            <m:sSub>
              <m:sSubPr>
                <m:ctrlPr>
                  <w:rPr>
                    <w:rFonts w:ascii="Cambria Math" w:hAnsi="Cambria Math" w:cs="宋体"/>
                  </w:rPr>
                </m:ctrlPr>
              </m:sSubPr>
              <m:e>
                <m:r>
                  <m:rPr/>
                  <w:rPr>
                    <w:rFonts w:ascii="Cambria Math" w:hAnsi="Cambria Math" w:cs="宋体"/>
                  </w:rPr>
                  <m:t>I</m:t>
                </m:r>
                <m:ctrlPr>
                  <w:rPr>
                    <w:rFonts w:ascii="Cambria Math" w:hAnsi="Cambria Math" w:cs="宋体"/>
                  </w:rPr>
                </m:ctrlPr>
              </m:e>
              <m:sub>
                <m:r>
                  <m:rPr>
                    <m:sty m:val="p"/>
                  </m:rPr>
                  <w:rPr>
                    <w:rFonts w:ascii="Cambria Math" w:hAnsi="Cambria Math" w:cs="宋体"/>
                  </w:rPr>
                  <m:t>s</m:t>
                </m:r>
                <m:ctrlPr>
                  <w:rPr>
                    <w:rFonts w:ascii="Cambria Math" w:hAnsi="Cambria Math" w:cs="宋体"/>
                  </w:rPr>
                </m:ctrlPr>
              </m:sub>
            </m:sSub>
            <m:ctrlPr>
              <w:rPr>
                <w:rFonts w:hint="eastAsia" w:ascii="Cambria Math" w:hAnsi="Cambria Math" w:cs="宋体"/>
              </w:rPr>
            </m:ctrlPr>
          </m:num>
          <m:den>
            <m:sSup>
              <m:sSupPr>
                <m:ctrlPr>
                  <w:rPr>
                    <w:rFonts w:hint="eastAsia" w:ascii="Cambria Math" w:hAnsi="Cambria Math" w:cs="宋体"/>
                  </w:rPr>
                </m:ctrlPr>
              </m:sSup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hint="eastAsia" w:ascii="Cambria Math" w:hAnsi="Cambria Math" w:cs="宋体"/>
                  </w:rPr>
                </m:ctrlPr>
              </m:e>
              <m:sup>
                <m:r>
                  <m:rPr>
                    <m:sty m:val="p"/>
                  </m:rPr>
                  <w:rPr>
                    <w:rFonts w:ascii="Cambria Math" w:hAnsi="Cambria Math" w:cs="宋体"/>
                  </w:rPr>
                  <m:t>2</m:t>
                </m:r>
                <m:ctrlPr>
                  <w:rPr>
                    <w:rFonts w:hint="eastAsia" w:ascii="Cambria Math" w:hAnsi="Cambria Math" w:cs="宋体"/>
                  </w:rPr>
                </m:ctrlPr>
              </m:sup>
            </m:sSup>
            <m:ctrlPr>
              <w:rPr>
                <w:rFonts w:hint="eastAsia" w:ascii="Cambria Math" w:hAnsi="Cambria Math" w:cs="宋体"/>
              </w:rPr>
            </m:ctrlPr>
          </m:den>
        </m:f>
        <m:r>
          <m:rPr>
            <m:sty m:val="p"/>
          </m:rPr>
          <w:rPr>
            <w:rFonts w:ascii="Cambria Math" w:hAnsi="Cambria Math" w:cs="Cambria Math"/>
          </w:rPr>
          <m:t>×</m:t>
        </m:r>
        <m:r>
          <m:rPr/>
          <w:rPr>
            <w:rFonts w:ascii="Cambria Math" w:hAnsi="Cambria Math" w:cs="宋体"/>
          </w:rPr>
          <m:t>A</m:t>
        </m:r>
      </m:oMath>
      <w:r>
        <w:rPr>
          <w:rStyle w:val="16"/>
          <w:rFonts w:hint="eastAsia"/>
          <w:b w:val="0"/>
          <w:i w:val="0"/>
          <w:lang w:val="en-US" w:eastAsia="zh-CN"/>
        </w:rPr>
        <w:t xml:space="preserve">                              （1）</w:t>
      </w:r>
    </w:p>
    <w:p w14:paraId="1C645823">
      <w:pPr>
        <w:adjustRightInd w:val="0"/>
        <w:snapToGrid w:val="0"/>
        <w:rPr>
          <w:rFonts w:hAnsi="Cambria Math" w:cs="宋体"/>
        </w:rPr>
      </w:pPr>
      <w:r>
        <w:rPr>
          <w:rFonts w:hint="eastAsia" w:ascii="宋体" w:hAnsi="宋体" w:eastAsia="宋体" w:cs="宋体"/>
        </w:rPr>
        <w:t>其中，</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hAnsi="Cambria Math"/>
        </w:rPr>
        <w:t xml:space="preserve"> </w:t>
      </w:r>
      <w:r>
        <w:rPr>
          <w:rFonts w:hint="eastAsia" w:hAnsi="Cambria Math" w:cs="宋体"/>
        </w:rPr>
        <w:t>是第发光强度标准灯到</w:t>
      </w:r>
      <w:r>
        <w:rPr>
          <w:rFonts w:hint="eastAsia" w:hAnsi="Cambria Math" w:cs="宋体"/>
          <w:lang w:eastAsia="zh-CN"/>
        </w:rPr>
        <w:t>光阑</w:t>
      </w:r>
      <w:r>
        <w:rPr>
          <w:rFonts w:hint="eastAsia" w:hAnsi="Cambria Math" w:cs="宋体"/>
        </w:rPr>
        <w:t>的距离。</w:t>
      </w:r>
    </w:p>
    <w:p w14:paraId="50960A8F">
      <w:pPr>
        <w:adjustRightInd w:val="0"/>
        <w:snapToGrid w:val="0"/>
        <w:ind w:firstLine="420"/>
        <w:rPr>
          <w:rFonts w:ascii="宋体" w:hAnsi="宋体" w:eastAsia="宋体" w:cs="宋体"/>
        </w:rPr>
      </w:pPr>
      <w:r>
        <w:rPr>
          <w:rFonts w:hint="eastAsia" w:ascii="宋体" w:hAnsi="宋体" w:eastAsia="宋体" w:cs="宋体"/>
        </w:rPr>
        <w:t>比较第</w:t>
      </w:r>
      <m:oMath>
        <m:r>
          <m:rPr/>
          <w:rPr>
            <w:rFonts w:ascii="Cambria Math" w:hAnsi="Cambria Math"/>
          </w:rPr>
          <m:t>i</m:t>
        </m:r>
      </m:oMath>
      <w:r>
        <w:rPr>
          <w:rFonts w:hint="eastAsia" w:asciiTheme="minorEastAsia" w:hAnsiTheme="minorEastAsia"/>
        </w:rPr>
        <w:t>次测试时，</w:t>
      </w:r>
      <w:r>
        <w:rPr>
          <w:rFonts w:hint="eastAsia" w:ascii="宋体" w:hAnsi="宋体" w:eastAsia="宋体" w:cs="宋体"/>
        </w:rPr>
        <w:t>标准光通量值</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i</m:t>
            </m:r>
            <m:ctrlPr>
              <w:rPr>
                <w:rFonts w:ascii="Cambria Math" w:hAnsi="Cambria Math" w:cs="宋体"/>
              </w:rPr>
            </m:ctrlPr>
          </m:sub>
        </m:sSub>
      </m:oMath>
      <w:r>
        <w:rPr>
          <w:rFonts w:hint="eastAsia" w:ascii="宋体" w:hAnsi="宋体" w:eastAsia="宋体" w:cs="宋体"/>
        </w:rPr>
        <w:t>和被校准光通量计的光通量读数</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i</m:t>
            </m:r>
            <m:ctrlPr>
              <w:rPr>
                <w:rFonts w:ascii="Cambria Math" w:hAnsi="Cambria Math" w:cs="宋体"/>
              </w:rPr>
            </m:ctrlPr>
          </m:sub>
        </m:sSub>
      </m:oMath>
      <w:r>
        <w:rPr>
          <w:rFonts w:hint="eastAsia" w:ascii="宋体" w:hAnsi="宋体" w:eastAsia="宋体" w:cs="宋体"/>
        </w:rPr>
        <w:t>，计算其光通量相对示值偏差</w:t>
      </w:r>
      <m:oMath>
        <m:sSub>
          <m:sSubPr>
            <m:ctrlPr>
              <w:rPr>
                <w:rFonts w:ascii="Cambria Math" w:hAnsi="Cambria Math" w:cs="宋体"/>
                <w:i/>
              </w:rPr>
            </m:ctrlPr>
          </m:sSubPr>
          <m:e>
            <m:r>
              <m:rPr/>
              <w:rPr>
                <w:rFonts w:ascii="Cambria Math" w:hAnsi="Cambria Math" w:cs="宋体"/>
              </w:rPr>
              <m:t>η</m:t>
            </m:r>
            <m:ctrlPr>
              <w:rPr>
                <w:rFonts w:ascii="Cambria Math" w:hAnsi="Cambria Math" w:cs="宋体"/>
                <w:i/>
              </w:rPr>
            </m:ctrlPr>
          </m:e>
          <m:sub>
            <m:r>
              <m:rPr/>
              <w:rPr>
                <w:rFonts w:ascii="Cambria Math" w:hAnsi="Cambria Math" w:cs="宋体"/>
              </w:rPr>
              <m:t>i</m:t>
            </m:r>
            <m:ctrlPr>
              <w:rPr>
                <w:rFonts w:ascii="Cambria Math" w:hAnsi="Cambria Math" w:cs="宋体"/>
                <w:i/>
              </w:rPr>
            </m:ctrlPr>
          </m:sub>
        </m:sSub>
      </m:oMath>
      <w:r>
        <w:rPr>
          <w:rFonts w:hint="eastAsia" w:ascii="宋体" w:hAnsi="宋体" w:eastAsia="宋体" w:cs="宋体"/>
        </w:rPr>
        <w:t>。</w:t>
      </w:r>
    </w:p>
    <w:p w14:paraId="271FF39B">
      <w:pPr>
        <w:ind w:firstLine="420"/>
        <w:jc w:val="right"/>
        <w:rPr>
          <w:rFonts w:hint="eastAsia" w:ascii="宋体" w:hAnsi="宋体" w:cs="宋体" w:eastAsiaTheme="minorEastAsia"/>
          <w:lang w:val="en-US" w:eastAsia="zh-CN"/>
        </w:rPr>
      </w:pPr>
      <m:oMath>
        <m:sSub>
          <m:sSubPr>
            <m:ctrlPr>
              <w:rPr>
                <w:rFonts w:ascii="Cambria Math" w:hAnsi="Cambria Math" w:cs="宋体"/>
                <w:i/>
              </w:rPr>
            </m:ctrlPr>
          </m:sSubPr>
          <m:e>
            <m:r>
              <m:rPr/>
              <w:rPr>
                <w:rFonts w:ascii="Cambria Math" w:hAnsi="Cambria Math" w:cs="宋体"/>
              </w:rPr>
              <m:t>η</m:t>
            </m:r>
            <m:ctrlPr>
              <w:rPr>
                <w:rFonts w:ascii="Cambria Math" w:hAnsi="Cambria Math" w:cs="宋体"/>
                <w:i/>
              </w:rPr>
            </m:ctrlPr>
          </m:e>
          <m:sub>
            <m:r>
              <m:rPr/>
              <w:rPr>
                <w:rFonts w:ascii="Cambria Math" w:hAnsi="Cambria Math" w:cs="宋体"/>
              </w:rPr>
              <m:t>i</m:t>
            </m:r>
            <m:ctrlPr>
              <w:rPr>
                <w:rFonts w:ascii="Cambria Math" w:hAnsi="Cambria Math" w:cs="宋体"/>
                <w:i/>
              </w:rPr>
            </m:ctrlPr>
          </m:sub>
        </m:sSub>
        <m:r>
          <m:rPr>
            <m:sty m:val="p"/>
          </m:rPr>
          <w:rPr>
            <w:rFonts w:hint="eastAsia" w:ascii="Cambria Math" w:hAnsi="Cambria Math" w:cs="宋体"/>
          </w:rPr>
          <m:t>=</m:t>
        </m:r>
        <m:f>
          <m:fPr>
            <m:ctrlPr>
              <w:rPr>
                <w:rFonts w:hint="eastAsia" w:ascii="Cambria Math" w:hAnsi="Cambria Math" w:cs="宋体"/>
              </w:rPr>
            </m:ctrlPr>
          </m:fPr>
          <m:num>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i</m:t>
                </m:r>
                <m:ctrlPr>
                  <w:rPr>
                    <w:rFonts w:ascii="Cambria Math" w:hAnsi="Cambria Math" w:cs="宋体"/>
                  </w:rPr>
                </m:ctrlPr>
              </m:sub>
            </m:sSub>
            <m:r>
              <m:rPr>
                <m:sty m:val="p"/>
              </m:rPr>
              <w:rPr>
                <w:rFonts w:ascii="Cambria Math" w:hAnsi="Cambria Math" w:cs="宋体"/>
              </w:rPr>
              <m:t>−</m:t>
            </m:r>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i</m:t>
                </m:r>
                <m:ctrlPr>
                  <w:rPr>
                    <w:rFonts w:ascii="Cambria Math" w:hAnsi="Cambria Math" w:cs="宋体"/>
                  </w:rPr>
                </m:ctrlPr>
              </m:sub>
            </m:sSub>
            <m:ctrlPr>
              <w:rPr>
                <w:rFonts w:hint="eastAsia" w:ascii="Cambria Math" w:hAnsi="Cambria Math" w:cs="宋体"/>
              </w:rPr>
            </m:ctrlPr>
          </m:num>
          <m:den>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i</m:t>
                </m:r>
                <m:ctrlPr>
                  <w:rPr>
                    <w:rFonts w:ascii="Cambria Math" w:hAnsi="Cambria Math" w:cs="宋体"/>
                  </w:rPr>
                </m:ctrlPr>
              </m:sub>
            </m:sSub>
            <m:ctrlPr>
              <w:rPr>
                <w:rFonts w:hint="eastAsia" w:ascii="Cambria Math" w:hAnsi="Cambria Math" w:cs="宋体"/>
              </w:rPr>
            </m:ctrlPr>
          </m:den>
        </m:f>
        <m:r>
          <m:rPr>
            <m:sty m:val="p"/>
          </m:rPr>
          <w:rPr>
            <w:rFonts w:ascii="Cambria Math" w:hAnsi="Cambria Math" w:cs="Cambria Math"/>
          </w:rPr>
          <m:t>×</m:t>
        </m:r>
        <m:r>
          <m:rPr>
            <m:sty m:val="p"/>
          </m:rPr>
          <w:rPr>
            <w:rFonts w:ascii="Cambria Math" w:hAnsi="Cambria Math" w:cs="宋体"/>
          </w:rPr>
          <m:t>100%</m:t>
        </m:r>
      </m:oMath>
      <w:r>
        <w:rPr>
          <w:rFonts w:hint="eastAsia" w:hAnsi="Cambria Math" w:cs="宋体"/>
          <w:b w:val="0"/>
          <w:i w:val="0"/>
          <w:lang w:val="en-US" w:eastAsia="zh-CN"/>
        </w:rPr>
        <w:t xml:space="preserve">                     （2）</w:t>
      </w:r>
    </w:p>
    <w:p w14:paraId="0FD14B1E">
      <w:pPr>
        <w:numPr>
          <w:ilvl w:val="255"/>
          <w:numId w:val="0"/>
        </w:numPr>
        <w:adjustRightInd w:val="0"/>
        <w:snapToGrid w:val="0"/>
        <w:jc w:val="left"/>
        <w:rPr>
          <w:rFonts w:asciiTheme="minorEastAsia" w:hAnsiTheme="minorEastAsia"/>
        </w:rPr>
      </w:pPr>
      <w:r>
        <w:rPr>
          <w:rFonts w:hint="eastAsia" w:asciiTheme="minorEastAsia" w:hAnsiTheme="minorEastAsia"/>
        </w:rPr>
        <w:t xml:space="preserve">    </w:t>
      </w:r>
    </w:p>
    <w:p w14:paraId="6B3B6E26">
      <w:pPr>
        <w:rPr>
          <w:rFonts w:ascii="宋体" w:hAnsi="宋体" w:eastAsia="宋体" w:cs="宋体"/>
        </w:rPr>
      </w:pPr>
      <w:r>
        <w:rPr>
          <w:rFonts w:hint="eastAsia" w:ascii="宋体" w:hAnsi="宋体" w:eastAsia="宋体" w:cs="宋体"/>
        </w:rPr>
        <w:t>7.2.2.2 采用LED标准管</w:t>
      </w:r>
    </w:p>
    <w:p w14:paraId="61FDA71B">
      <w:pPr>
        <w:numPr>
          <w:ilvl w:val="0"/>
          <w:numId w:val="4"/>
        </w:numPr>
        <w:ind w:firstLine="420"/>
        <w:rPr>
          <w:rFonts w:ascii="宋体" w:hAnsi="宋体" w:eastAsia="宋体" w:cs="宋体"/>
        </w:rPr>
      </w:pPr>
      <w:r>
        <w:rPr>
          <w:rFonts w:hint="eastAsia" w:ascii="宋体" w:hAnsi="宋体" w:eastAsia="宋体" w:cs="宋体"/>
        </w:rPr>
        <w:t>LED标准管的安装。将LED标准管的发光主体完全置于积分球内部，LED支架紧贴积分球开口边沿，如图4所示。LED标准管的支架朝向积分球的部分应涂白，注意LED标准管不要碰触积分球内部档屏或其他物件。LED标准管的采用四线法接线方式，如图5所示。</w:t>
      </w:r>
    </w:p>
    <w:p w14:paraId="5B00A806">
      <w:pPr>
        <w:numPr>
          <w:ilvl w:val="0"/>
          <w:numId w:val="4"/>
        </w:numPr>
        <w:ind w:firstLine="420"/>
        <w:rPr>
          <w:rFonts w:ascii="宋体" w:hAnsi="宋体" w:eastAsia="宋体" w:cs="宋体"/>
        </w:rPr>
      </w:pPr>
      <w:r>
        <w:rPr>
          <w:rFonts w:hint="eastAsia" w:ascii="宋体" w:hAnsi="宋体" w:eastAsia="宋体" w:cs="宋体"/>
        </w:rPr>
        <w:t>LED标准管的点亮。LED</w:t>
      </w:r>
      <w:r>
        <w:rPr>
          <w:rFonts w:hint="eastAsia" w:asciiTheme="minorEastAsia" w:hAnsiTheme="minorEastAsia"/>
        </w:rPr>
        <w:t xml:space="preserve">标准管按规定灯电流值点亮，需避免过流、过压及极性反接，待标准管发光稳定后开始测量，一般为3 </w:t>
      </w:r>
      <w:r>
        <w:t>~</w:t>
      </w:r>
      <w:r>
        <w:rPr>
          <w:rFonts w:hint="eastAsia" w:asciiTheme="minorEastAsia" w:hAnsiTheme="minorEastAsia"/>
        </w:rPr>
        <w:t xml:space="preserve"> 5 min。</w:t>
      </w:r>
    </w:p>
    <w:p w14:paraId="433AD9A1">
      <w:pPr>
        <w:numPr>
          <w:ilvl w:val="0"/>
          <w:numId w:val="4"/>
        </w:numPr>
        <w:adjustRightInd w:val="0"/>
        <w:snapToGrid w:val="0"/>
        <w:ind w:firstLine="420"/>
        <w:rPr>
          <w:rFonts w:ascii="宋体" w:hAnsi="宋体" w:eastAsia="宋体" w:cs="宋体"/>
        </w:rPr>
      </w:pPr>
      <w:r>
        <w:rPr>
          <w:rFonts w:hint="eastAsia" w:ascii="宋体" w:hAnsi="宋体" w:eastAsia="宋体" w:cs="宋体"/>
        </w:rPr>
        <w:t>数据记录。记录当前第</w:t>
      </w:r>
      <m:oMath>
        <m:r>
          <m:rPr/>
          <w:rPr>
            <w:rFonts w:ascii="Cambria Math" w:hAnsi="Cambria Math"/>
          </w:rPr>
          <m:t>j</m:t>
        </m:r>
      </m:oMath>
      <w:r>
        <w:rPr>
          <w:rFonts w:hint="eastAsia" w:ascii="宋体" w:hAnsi="宋体" w:eastAsia="宋体" w:cs="宋体"/>
        </w:rPr>
        <w:t>次的LED标准管序号和光通量计的光通量读数</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j</m:t>
            </m:r>
            <m:ctrlPr>
              <w:rPr>
                <w:rFonts w:ascii="Cambria Math" w:hAnsi="Cambria Math" w:cs="宋体"/>
              </w:rPr>
            </m:ctrlPr>
          </m:sub>
        </m:sSub>
      </m:oMath>
      <w:r>
        <w:rPr>
          <w:rFonts w:hint="eastAsia" w:ascii="宋体" w:hAnsi="宋体" w:eastAsia="宋体" w:cs="宋体"/>
        </w:rPr>
        <w:t>。</w:t>
      </w:r>
    </w:p>
    <w:p w14:paraId="43BBBB19">
      <w:pPr>
        <w:numPr>
          <w:ilvl w:val="0"/>
          <w:numId w:val="4"/>
        </w:numPr>
        <w:adjustRightInd w:val="0"/>
        <w:snapToGrid w:val="0"/>
        <w:ind w:firstLine="420"/>
        <w:rPr>
          <w:rFonts w:ascii="宋体" w:hAnsi="宋体" w:eastAsia="宋体" w:cs="宋体"/>
        </w:rPr>
      </w:pPr>
      <w:r>
        <w:rPr>
          <w:rFonts w:hint="eastAsia" w:ascii="宋体" w:hAnsi="宋体" w:eastAsia="宋体" w:cs="宋体"/>
        </w:rPr>
        <w:t>根据校准范围的要求，调整LED标准管类型，并按7.2.2.2① 至 ③重新安装并重复校准步骤。</w:t>
      </w:r>
    </w:p>
    <w:p w14:paraId="14057E1C">
      <w:pPr>
        <w:numPr>
          <w:ilvl w:val="0"/>
          <w:numId w:val="4"/>
        </w:numPr>
        <w:adjustRightInd w:val="0"/>
        <w:snapToGrid w:val="0"/>
        <w:ind w:firstLine="420"/>
        <w:rPr>
          <w:rFonts w:ascii="宋体" w:hAnsi="宋体" w:eastAsia="宋体" w:cs="宋体"/>
        </w:rPr>
      </w:pPr>
      <w:r>
        <w:rPr>
          <w:rFonts w:hint="eastAsia" w:asciiTheme="minorEastAsia" w:hAnsiTheme="minorEastAsia"/>
        </w:rPr>
        <w:t>数据处理。</w:t>
      </w:r>
      <w:r>
        <w:rPr>
          <w:rFonts w:hint="eastAsia" w:ascii="宋体" w:hAnsi="宋体" w:eastAsia="宋体" w:cs="宋体"/>
        </w:rPr>
        <w:t>比较第</w:t>
      </w:r>
      <m:oMath>
        <m:r>
          <m:rPr/>
          <w:rPr>
            <w:rFonts w:ascii="Cambria Math" w:hAnsi="宋体" w:eastAsia="宋体" w:cs="宋体"/>
          </w:rPr>
          <m:t>j</m:t>
        </m:r>
      </m:oMath>
      <w:r>
        <w:rPr>
          <w:rFonts w:hint="eastAsia" w:ascii="宋体" w:hAnsi="宋体" w:eastAsia="宋体" w:cs="宋体"/>
        </w:rPr>
        <w:t>只LED标准管的标准光通量值</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j</m:t>
            </m:r>
            <m:ctrlPr>
              <w:rPr>
                <w:rFonts w:ascii="Cambria Math" w:hAnsi="Cambria Math" w:cs="宋体"/>
              </w:rPr>
            </m:ctrlPr>
          </m:sub>
        </m:sSub>
      </m:oMath>
      <w:r>
        <w:rPr>
          <w:rFonts w:hint="eastAsia" w:ascii="宋体" w:hAnsi="宋体" w:eastAsia="宋体" w:cs="宋体"/>
        </w:rPr>
        <w:t>和待测光通量计的光通量读数</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j</m:t>
            </m:r>
            <m:ctrlPr>
              <w:rPr>
                <w:rFonts w:ascii="Cambria Math" w:hAnsi="Cambria Math" w:cs="宋体"/>
              </w:rPr>
            </m:ctrlPr>
          </m:sub>
        </m:sSub>
      </m:oMath>
      <w:r>
        <w:rPr>
          <w:rFonts w:hint="eastAsia" w:ascii="宋体" w:hAnsi="宋体" w:eastAsia="宋体" w:cs="宋体"/>
        </w:rPr>
        <w:t>，计算其光通量相对示值偏差</w:t>
      </w:r>
      <m:oMath>
        <m:sSub>
          <m:sSubPr>
            <m:ctrlPr>
              <w:rPr>
                <w:rFonts w:ascii="Cambria Math" w:hAnsi="Cambria Math" w:cs="宋体"/>
                <w:i/>
              </w:rPr>
            </m:ctrlPr>
          </m:sSubPr>
          <m:e>
            <m:r>
              <m:rPr/>
              <w:rPr>
                <w:rFonts w:ascii="Cambria Math" w:hAnsi="Cambria Math" w:cs="宋体"/>
              </w:rPr>
              <m:t>η</m:t>
            </m:r>
            <m:ctrlPr>
              <w:rPr>
                <w:rFonts w:ascii="Cambria Math" w:hAnsi="Cambria Math" w:cs="宋体"/>
                <w:i/>
              </w:rPr>
            </m:ctrlPr>
          </m:e>
          <m:sub>
            <m:r>
              <m:rPr/>
              <w:rPr>
                <w:rFonts w:ascii="Cambria Math" w:hAnsi="Cambria Math" w:cs="宋体"/>
              </w:rPr>
              <m:t>j</m:t>
            </m:r>
            <m:ctrlPr>
              <w:rPr>
                <w:rFonts w:ascii="Cambria Math" w:hAnsi="Cambria Math" w:cs="宋体"/>
                <w:i/>
              </w:rPr>
            </m:ctrlPr>
          </m:sub>
        </m:sSub>
      </m:oMath>
      <w:r>
        <w:rPr>
          <w:rFonts w:hint="eastAsia" w:ascii="宋体" w:hAnsi="宋体" w:eastAsia="宋体" w:cs="宋体"/>
        </w:rPr>
        <w:t>。</w:t>
      </w:r>
    </w:p>
    <w:p w14:paraId="31C3AB59">
      <w:pPr>
        <w:adjustRightInd w:val="0"/>
        <w:snapToGrid w:val="0"/>
        <w:ind w:firstLine="420"/>
        <w:jc w:val="right"/>
        <w:rPr>
          <w:rFonts w:hint="eastAsia" w:ascii="宋体" w:hAnsi="宋体" w:cs="宋体" w:eastAsiaTheme="minorEastAsia"/>
          <w:lang w:eastAsia="zh-CN"/>
        </w:rPr>
      </w:pPr>
      <m:oMath>
        <m:sSub>
          <m:sSubPr>
            <m:ctrlPr>
              <w:rPr>
                <w:rFonts w:ascii="Cambria Math" w:hAnsi="Cambria Math" w:cs="宋体"/>
                <w:i/>
              </w:rPr>
            </m:ctrlPr>
          </m:sSubPr>
          <m:e>
            <m:r>
              <m:rPr/>
              <w:rPr>
                <w:rFonts w:ascii="Cambria Math" w:hAnsi="Cambria Math" w:cs="宋体"/>
              </w:rPr>
              <m:t>η</m:t>
            </m:r>
            <m:ctrlPr>
              <w:rPr>
                <w:rFonts w:ascii="Cambria Math" w:hAnsi="Cambria Math" w:cs="宋体"/>
                <w:i/>
              </w:rPr>
            </m:ctrlPr>
          </m:e>
          <m:sub>
            <m:r>
              <m:rPr/>
              <w:rPr>
                <w:rFonts w:ascii="Cambria Math" w:hAnsi="Cambria Math" w:cs="宋体"/>
              </w:rPr>
              <m:t>j</m:t>
            </m:r>
            <m:ctrlPr>
              <w:rPr>
                <w:rFonts w:ascii="Cambria Math" w:hAnsi="Cambria Math" w:cs="宋体"/>
                <w:i/>
              </w:rPr>
            </m:ctrlPr>
          </m:sub>
        </m:sSub>
        <m:r>
          <m:rPr>
            <m:sty m:val="p"/>
          </m:rPr>
          <w:rPr>
            <w:rFonts w:hint="eastAsia" w:ascii="Cambria Math" w:hAnsi="Cambria Math" w:cs="宋体"/>
          </w:rPr>
          <m:t>=</m:t>
        </m:r>
        <m:f>
          <m:fPr>
            <m:ctrlPr>
              <w:rPr>
                <w:rFonts w:hint="eastAsia" w:ascii="Cambria Math" w:hAnsi="Cambria Math" w:cs="宋体"/>
              </w:rPr>
            </m:ctrlPr>
          </m:fPr>
          <m:num>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j</m:t>
                </m:r>
                <m:ctrlPr>
                  <w:rPr>
                    <w:rFonts w:ascii="Cambria Math" w:hAnsi="Cambria Math" w:cs="宋体"/>
                  </w:rPr>
                </m:ctrlPr>
              </m:sub>
            </m:sSub>
            <m:r>
              <m:rPr>
                <m:sty m:val="p"/>
              </m:rPr>
              <w:rPr>
                <w:rFonts w:ascii="Cambria Math" w:hAnsi="Cambria Math" w:cs="宋体"/>
              </w:rPr>
              <m:t>−</m:t>
            </m:r>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j</m:t>
                </m:r>
                <m:ctrlPr>
                  <w:rPr>
                    <w:rFonts w:ascii="Cambria Math" w:hAnsi="Cambria Math" w:cs="宋体"/>
                  </w:rPr>
                </m:ctrlPr>
              </m:sub>
            </m:sSub>
            <m:ctrlPr>
              <w:rPr>
                <w:rFonts w:hint="eastAsia" w:ascii="Cambria Math" w:hAnsi="Cambria Math" w:cs="宋体"/>
              </w:rPr>
            </m:ctrlPr>
          </m:num>
          <m:den>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j</m:t>
                </m:r>
                <m:ctrlPr>
                  <w:rPr>
                    <w:rFonts w:ascii="Cambria Math" w:hAnsi="Cambria Math" w:cs="宋体"/>
                  </w:rPr>
                </m:ctrlPr>
              </m:sub>
            </m:sSub>
            <m:ctrlPr>
              <w:rPr>
                <w:rFonts w:hint="eastAsia" w:ascii="Cambria Math" w:hAnsi="Cambria Math" w:cs="宋体"/>
              </w:rPr>
            </m:ctrlPr>
          </m:den>
        </m:f>
        <m:r>
          <m:rPr>
            <m:sty m:val="p"/>
          </m:rPr>
          <w:rPr>
            <w:rFonts w:ascii="Cambria Math" w:hAnsi="Cambria Math" w:cs="Cambria Math"/>
          </w:rPr>
          <m:t>×</m:t>
        </m:r>
        <m:r>
          <m:rPr>
            <m:sty m:val="p"/>
          </m:rPr>
          <w:rPr>
            <w:rFonts w:ascii="Cambria Math" w:hAnsi="Cambria Math" w:cs="宋体"/>
          </w:rPr>
          <m:t>100%</m:t>
        </m:r>
      </m:oMath>
      <w:r>
        <w:rPr>
          <w:rFonts w:hint="eastAsia" w:hAnsi="Cambria Math" w:cs="宋体"/>
          <w:b w:val="0"/>
          <w:i w:val="0"/>
          <w:lang w:val="en-US" w:eastAsia="zh-CN"/>
        </w:rPr>
        <w:t xml:space="preserve">                   </w:t>
      </w:r>
      <w:r>
        <w:rPr>
          <w:rFonts w:hint="eastAsia" w:hAnsi="Cambria Math" w:cs="宋体"/>
          <w:b w:val="0"/>
          <w:i w:val="0"/>
          <w:lang w:eastAsia="zh-CN"/>
        </w:rPr>
        <w:t>（</w:t>
      </w:r>
      <w:r>
        <w:rPr>
          <w:rFonts w:hint="eastAsia" w:hAnsi="Cambria Math" w:cs="宋体"/>
          <w:b w:val="0"/>
          <w:i w:val="0"/>
          <w:lang w:val="en-US" w:eastAsia="zh-CN"/>
        </w:rPr>
        <w:t>3</w:t>
      </w:r>
      <w:r>
        <w:rPr>
          <w:rFonts w:hint="eastAsia" w:hAnsi="Cambria Math" w:cs="宋体"/>
          <w:b w:val="0"/>
          <w:i w:val="0"/>
          <w:lang w:eastAsia="zh-CN"/>
        </w:rPr>
        <w:t>）</w:t>
      </w:r>
    </w:p>
    <w:p w14:paraId="3A91517F">
      <w:pPr>
        <w:numPr>
          <w:ilvl w:val="255"/>
          <w:numId w:val="0"/>
        </w:numPr>
        <w:ind w:left="420"/>
        <w:rPr>
          <w:rFonts w:ascii="宋体" w:hAnsi="宋体" w:eastAsia="宋体" w:cs="宋体"/>
        </w:rPr>
      </w:pPr>
    </w:p>
    <w:p w14:paraId="73F038A5">
      <w:pPr>
        <w:jc w:val="center"/>
        <w:rPr>
          <w:rFonts w:ascii="宋体" w:hAnsi="宋体" w:eastAsia="宋体" w:cs="宋体"/>
        </w:rPr>
      </w:pPr>
      <w:r>
        <w:drawing>
          <wp:inline distT="0" distB="0" distL="114300" distR="114300">
            <wp:extent cx="3882390" cy="1156335"/>
            <wp:effectExtent l="0" t="0" r="3810" b="190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5"/>
                    <a:stretch>
                      <a:fillRect/>
                    </a:stretch>
                  </pic:blipFill>
                  <pic:spPr>
                    <a:xfrm>
                      <a:off x="0" y="0"/>
                      <a:ext cx="3882390" cy="1156335"/>
                    </a:xfrm>
                    <a:prstGeom prst="rect">
                      <a:avLst/>
                    </a:prstGeom>
                    <a:noFill/>
                    <a:ln>
                      <a:noFill/>
                    </a:ln>
                  </pic:spPr>
                </pic:pic>
              </a:graphicData>
            </a:graphic>
          </wp:inline>
        </w:drawing>
      </w:r>
    </w:p>
    <w:p w14:paraId="61BA0508">
      <w:pPr>
        <w:jc w:val="center"/>
        <w:rPr>
          <w:rFonts w:ascii="宋体" w:hAnsi="宋体" w:eastAsia="宋体" w:cs="宋体"/>
          <w:sz w:val="21"/>
          <w:szCs w:val="21"/>
        </w:rPr>
      </w:pPr>
      <w:r>
        <w:rPr>
          <w:rFonts w:hint="eastAsia" w:ascii="宋体" w:hAnsi="宋体" w:eastAsia="宋体" w:cs="宋体"/>
          <w:sz w:val="21"/>
          <w:szCs w:val="21"/>
        </w:rPr>
        <w:t>图4 使用LED标准管校准光通量计</w:t>
      </w:r>
    </w:p>
    <w:p w14:paraId="385FDDBF">
      <w:pPr>
        <w:jc w:val="center"/>
        <w:rPr>
          <w:rFonts w:ascii="宋体" w:hAnsi="宋体" w:eastAsia="宋体" w:cs="宋体"/>
        </w:rPr>
      </w:pPr>
    </w:p>
    <w:p w14:paraId="50CABA0F">
      <w:pPr>
        <w:jc w:val="center"/>
        <w:rPr>
          <w:rFonts w:ascii="宋体" w:hAnsi="宋体" w:eastAsia="宋体" w:cs="宋体"/>
        </w:rPr>
      </w:pPr>
      <w:r>
        <w:drawing>
          <wp:inline distT="0" distB="0" distL="114300" distR="114300">
            <wp:extent cx="3210560" cy="1896745"/>
            <wp:effectExtent l="0" t="0" r="5080" b="825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26"/>
                    <a:stretch>
                      <a:fillRect/>
                    </a:stretch>
                  </pic:blipFill>
                  <pic:spPr>
                    <a:xfrm>
                      <a:off x="0" y="0"/>
                      <a:ext cx="3210560" cy="1896745"/>
                    </a:xfrm>
                    <a:prstGeom prst="rect">
                      <a:avLst/>
                    </a:prstGeom>
                    <a:noFill/>
                    <a:ln>
                      <a:noFill/>
                    </a:ln>
                  </pic:spPr>
                </pic:pic>
              </a:graphicData>
            </a:graphic>
          </wp:inline>
        </w:drawing>
      </w:r>
    </w:p>
    <w:p w14:paraId="0C50AAD8">
      <w:pPr>
        <w:jc w:val="center"/>
        <w:rPr>
          <w:rFonts w:ascii="宋体" w:hAnsi="宋体" w:eastAsia="宋体" w:cs="宋体"/>
          <w:sz w:val="21"/>
          <w:szCs w:val="21"/>
        </w:rPr>
      </w:pPr>
      <w:r>
        <w:rPr>
          <w:rFonts w:hint="eastAsia" w:ascii="宋体" w:hAnsi="宋体" w:eastAsia="宋体" w:cs="宋体"/>
          <w:sz w:val="21"/>
          <w:szCs w:val="21"/>
        </w:rPr>
        <w:t>图5 LED标准管的接电方式</w:t>
      </w:r>
    </w:p>
    <w:p w14:paraId="0DB6C856">
      <w:pPr>
        <w:jc w:val="center"/>
        <w:rPr>
          <w:rFonts w:ascii="宋体" w:hAnsi="宋体" w:eastAsia="宋体" w:cs="宋体"/>
        </w:rPr>
      </w:pPr>
    </w:p>
    <w:p w14:paraId="383030A2">
      <w:pPr>
        <w:rPr>
          <w:rFonts w:ascii="宋体" w:hAnsi="宋体" w:eastAsia="宋体" w:cs="宋体"/>
        </w:rPr>
      </w:pPr>
      <w:r>
        <w:rPr>
          <w:rFonts w:hint="eastAsia" w:ascii="宋体" w:hAnsi="宋体" w:eastAsia="宋体" w:cs="宋体"/>
        </w:rPr>
        <w:t>7.2.2.3 标准光通量计</w:t>
      </w:r>
    </w:p>
    <w:p w14:paraId="2BC682D5">
      <w:pPr>
        <w:numPr>
          <w:ilvl w:val="0"/>
          <w:numId w:val="5"/>
        </w:numPr>
        <w:ind w:left="0" w:firstLine="420"/>
        <w:rPr>
          <w:rFonts w:ascii="宋体" w:hAnsi="宋体" w:eastAsia="宋体" w:cs="宋体"/>
        </w:rPr>
      </w:pPr>
      <w:r>
        <w:rPr>
          <w:rFonts w:hint="eastAsia" w:ascii="宋体" w:hAnsi="宋体" w:eastAsia="宋体" w:cs="宋体"/>
        </w:rPr>
        <w:t>光纤光源和光通量计的放置。光纤光源作为参比光源，通过直接比较法，比较标准光通量计和待测光通量计的光通量读数，基本原理见图6。光纤光源、标准光通量计和待测光通量计开机预热30min以上。</w:t>
      </w:r>
    </w:p>
    <w:p w14:paraId="7995DFE5">
      <w:pPr>
        <w:numPr>
          <w:ilvl w:val="0"/>
          <w:numId w:val="5"/>
        </w:numPr>
        <w:adjustRightInd w:val="0"/>
        <w:snapToGrid w:val="0"/>
        <w:ind w:left="0" w:firstLine="420"/>
        <w:rPr>
          <w:rFonts w:ascii="宋体" w:hAnsi="宋体" w:eastAsia="宋体" w:cs="宋体"/>
        </w:rPr>
      </w:pPr>
      <w:r>
        <w:rPr>
          <w:rFonts w:hint="eastAsia" w:ascii="宋体" w:hAnsi="宋体" w:eastAsia="宋体" w:cs="宋体"/>
        </w:rPr>
        <w:t>使用标准光通量计测量光纤光源的输出光通量。将</w:t>
      </w:r>
      <w:r>
        <w:rPr>
          <w:rFonts w:hint="eastAsia" w:hAnsi="Cambria Math" w:cs="宋体"/>
        </w:rPr>
        <w:t>光纤光源的出光口放置在标准光通计积分球开口切面的中心附近，光纤出光口中心轴与积分球开口面法线重合，且光纤光源所发出的全部光被积分球收集。待</w:t>
      </w:r>
      <w:r>
        <w:rPr>
          <w:rFonts w:hint="eastAsia" w:ascii="宋体" w:hAnsi="宋体" w:eastAsia="宋体" w:cs="宋体"/>
        </w:rPr>
        <w:t>设定光纤光源的输出光通量水平</w:t>
      </w:r>
      <w:r>
        <w:rPr>
          <w:rFonts w:hint="eastAsia" w:hAnsi="Cambria Math" w:cs="宋体"/>
        </w:rPr>
        <w:t>，预热（1 ~ 5）min后，此时光纤光源输出稳定。记录当前测量序号</w:t>
      </w:r>
      <m:oMath>
        <m:r>
          <m:rPr/>
          <w:rPr>
            <w:rFonts w:ascii="Cambria Math" w:hAnsi="Cambria Math" w:cs="宋体"/>
          </w:rPr>
          <m:t>p</m:t>
        </m:r>
      </m:oMath>
      <w:r>
        <w:rPr>
          <w:rFonts w:hint="eastAsia" w:hAnsi="Cambria Math" w:cs="宋体"/>
          <w:iCs/>
        </w:rPr>
        <w:t>，</w:t>
      </w:r>
      <w:r>
        <w:rPr>
          <w:rFonts w:hint="eastAsia" w:hAnsi="Cambria Math" w:cs="宋体"/>
        </w:rPr>
        <w:t>标准光通量计的</w:t>
      </w:r>
      <w:r>
        <w:rPr>
          <w:rFonts w:hint="eastAsia" w:ascii="宋体" w:hAnsi="宋体" w:eastAsia="宋体" w:cs="宋体"/>
        </w:rPr>
        <w:t>光通量标准值</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p</m:t>
            </m:r>
            <m:ctrlPr>
              <w:rPr>
                <w:rFonts w:ascii="Cambria Math" w:hAnsi="Cambria Math" w:cs="宋体"/>
              </w:rPr>
            </m:ctrlPr>
          </m:sub>
        </m:sSub>
      </m:oMath>
      <w:r>
        <w:rPr>
          <w:rFonts w:hint="eastAsia" w:hAnsi="Cambria Math" w:cs="宋体"/>
        </w:rPr>
        <w:t>。</w:t>
      </w:r>
    </w:p>
    <w:p w14:paraId="05BB4F14">
      <w:pPr>
        <w:numPr>
          <w:ilvl w:val="0"/>
          <w:numId w:val="5"/>
        </w:numPr>
        <w:adjustRightInd w:val="0"/>
        <w:snapToGrid w:val="0"/>
        <w:ind w:left="0" w:firstLine="420"/>
        <w:rPr>
          <w:rFonts w:ascii="宋体" w:hAnsi="宋体" w:eastAsia="宋体" w:cs="宋体"/>
        </w:rPr>
      </w:pPr>
      <w:r>
        <w:rPr>
          <w:rFonts w:hint="eastAsia" w:ascii="宋体" w:hAnsi="宋体" w:eastAsia="宋体" w:cs="宋体"/>
        </w:rPr>
        <w:t>使用待测光通量计替代标准光通量计。移开标准光通量计，将</w:t>
      </w:r>
      <w:r>
        <w:rPr>
          <w:rFonts w:hint="eastAsia" w:hAnsi="Cambria Math" w:cs="宋体"/>
        </w:rPr>
        <w:t>光纤光源的出光口放置在</w:t>
      </w:r>
      <w:r>
        <w:rPr>
          <w:rFonts w:hint="eastAsia" w:ascii="宋体" w:hAnsi="宋体" w:eastAsia="宋体" w:cs="宋体"/>
        </w:rPr>
        <w:t>待测光通量计</w:t>
      </w:r>
      <w:r>
        <w:rPr>
          <w:rFonts w:hint="eastAsia" w:hAnsi="Cambria Math" w:cs="宋体"/>
        </w:rPr>
        <w:t>积分球开口切面的中心附近，光纤出光口中心轴与积分球开口面法线重合，且光纤光源所发出的全部光被积分球收集。待光纤光源输出水平重新稳定后（一般小于30 s），记录当前</w:t>
      </w:r>
      <w:r>
        <w:rPr>
          <w:rFonts w:hint="eastAsia" w:ascii="宋体" w:hAnsi="宋体" w:eastAsia="宋体" w:cs="宋体"/>
        </w:rPr>
        <w:t>待测光通量计</w:t>
      </w:r>
      <w:r>
        <w:rPr>
          <w:rFonts w:hint="eastAsia" w:hAnsi="Cambria Math" w:cs="宋体"/>
        </w:rPr>
        <w:t>的</w:t>
      </w:r>
      <w:r>
        <w:rPr>
          <w:rFonts w:hint="eastAsia" w:ascii="宋体" w:hAnsi="宋体" w:eastAsia="宋体" w:cs="宋体"/>
        </w:rPr>
        <w:t>光通量标准值</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t. </m:t>
            </m:r>
            <m:r>
              <m:rPr/>
              <w:rPr>
                <w:rFonts w:ascii="Cambria Math" w:hAnsi="Cambria Math" w:cs="宋体"/>
              </w:rPr>
              <m:t>p</m:t>
            </m:r>
            <m:ctrlPr>
              <w:rPr>
                <w:rFonts w:ascii="Cambria Math" w:hAnsi="Cambria Math" w:cs="宋体"/>
              </w:rPr>
            </m:ctrlPr>
          </m:sub>
        </m:sSub>
      </m:oMath>
      <w:r>
        <w:rPr>
          <w:rFonts w:hint="eastAsia" w:hAnsi="Cambria Math" w:cs="宋体"/>
        </w:rPr>
        <w:t>。</w:t>
      </w:r>
    </w:p>
    <w:p w14:paraId="7DD5618B">
      <w:pPr>
        <w:numPr>
          <w:ilvl w:val="0"/>
          <w:numId w:val="5"/>
        </w:numPr>
        <w:adjustRightInd w:val="0"/>
        <w:snapToGrid w:val="0"/>
        <w:ind w:left="0" w:firstLine="420"/>
        <w:rPr>
          <w:rFonts w:ascii="宋体" w:hAnsi="宋体" w:eastAsia="宋体" w:cs="宋体"/>
        </w:rPr>
      </w:pPr>
      <w:r>
        <w:rPr>
          <w:rFonts w:hint="eastAsia" w:ascii="宋体" w:hAnsi="宋体" w:eastAsia="宋体" w:cs="宋体"/>
        </w:rPr>
        <w:t>根据校准范围要求，改变光纤光源的输出光通量水平，并重复7.2.2.3b和c规定的校准步骤。</w:t>
      </w:r>
    </w:p>
    <w:p w14:paraId="7E0C02EF">
      <w:pPr>
        <w:numPr>
          <w:ilvl w:val="0"/>
          <w:numId w:val="5"/>
        </w:numPr>
        <w:adjustRightInd w:val="0"/>
        <w:snapToGrid w:val="0"/>
        <w:ind w:left="0" w:firstLine="420"/>
        <w:rPr>
          <w:rFonts w:ascii="宋体" w:hAnsi="宋体" w:eastAsia="宋体" w:cs="宋体"/>
        </w:rPr>
      </w:pPr>
      <w:r>
        <w:rPr>
          <w:rFonts w:hint="eastAsia" w:ascii="宋体" w:hAnsi="宋体" w:eastAsia="宋体" w:cs="宋体"/>
        </w:rPr>
        <w:t>数据处理。比较第</w:t>
      </w:r>
      <m:oMath>
        <m:r>
          <m:rPr/>
          <w:rPr>
            <w:rFonts w:ascii="Cambria Math" w:hAnsi="Cambria Math" w:cs="宋体"/>
          </w:rPr>
          <m:t>p</m:t>
        </m:r>
      </m:oMath>
      <w:r>
        <w:rPr>
          <w:rFonts w:hint="eastAsia" w:hAnsi="Cambria Math" w:cs="宋体"/>
        </w:rPr>
        <w:t>次</w:t>
      </w:r>
      <w:r>
        <w:rPr>
          <w:rFonts w:hint="eastAsia" w:ascii="宋体" w:hAnsi="宋体" w:eastAsia="宋体" w:cs="宋体"/>
        </w:rPr>
        <w:t>光纤光源的标准光通量值</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p</m:t>
            </m:r>
            <m:ctrlPr>
              <w:rPr>
                <w:rFonts w:ascii="Cambria Math" w:hAnsi="Cambria Math" w:cs="宋体"/>
              </w:rPr>
            </m:ctrlPr>
          </m:sub>
        </m:sSub>
      </m:oMath>
      <w:r>
        <w:rPr>
          <w:rFonts w:hint="eastAsia" w:ascii="宋体" w:hAnsi="宋体" w:eastAsia="宋体" w:cs="宋体"/>
        </w:rPr>
        <w:t>和待测光通量计的光通量读数</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p</m:t>
            </m:r>
            <m:ctrlPr>
              <w:rPr>
                <w:rFonts w:ascii="Cambria Math" w:hAnsi="Cambria Math" w:cs="宋体"/>
              </w:rPr>
            </m:ctrlPr>
          </m:sub>
        </m:sSub>
      </m:oMath>
      <w:r>
        <w:rPr>
          <w:rFonts w:hint="eastAsia" w:ascii="宋体" w:hAnsi="宋体" w:eastAsia="宋体" w:cs="宋体"/>
        </w:rPr>
        <w:t>，计算其光通量相对示值偏差</w:t>
      </w:r>
      <m:oMath>
        <m:sSub>
          <m:sSubPr>
            <m:ctrlPr>
              <w:rPr>
                <w:rFonts w:ascii="Cambria Math" w:hAnsi="Cambria Math" w:cs="宋体"/>
                <w:i/>
              </w:rPr>
            </m:ctrlPr>
          </m:sSubPr>
          <m:e>
            <m:r>
              <m:rPr/>
              <w:rPr>
                <w:rFonts w:ascii="Cambria Math" w:hAnsi="Cambria Math" w:cs="宋体"/>
              </w:rPr>
              <m:t>η</m:t>
            </m:r>
            <m:ctrlPr>
              <w:rPr>
                <w:rFonts w:ascii="Cambria Math" w:hAnsi="Cambria Math" w:cs="宋体"/>
                <w:i/>
              </w:rPr>
            </m:ctrlPr>
          </m:e>
          <m:sub>
            <m:r>
              <m:rPr/>
              <w:rPr>
                <w:rFonts w:ascii="Cambria Math" w:hAnsi="Cambria Math" w:cs="宋体"/>
              </w:rPr>
              <m:t>p</m:t>
            </m:r>
            <m:ctrlPr>
              <w:rPr>
                <w:rFonts w:ascii="Cambria Math" w:hAnsi="Cambria Math" w:cs="宋体"/>
                <w:i/>
              </w:rPr>
            </m:ctrlPr>
          </m:sub>
        </m:sSub>
      </m:oMath>
      <w:r>
        <w:rPr>
          <w:rFonts w:hint="eastAsia" w:ascii="宋体" w:hAnsi="宋体" w:eastAsia="宋体" w:cs="宋体"/>
        </w:rPr>
        <w:t>。</w:t>
      </w:r>
    </w:p>
    <w:p w14:paraId="2DD98B54">
      <w:pPr>
        <w:adjustRightInd w:val="0"/>
        <w:snapToGrid w:val="0"/>
        <w:ind w:firstLine="420"/>
        <w:jc w:val="right"/>
        <w:rPr>
          <w:rFonts w:hint="eastAsia" w:ascii="宋体" w:hAnsi="宋体" w:cs="宋体" w:eastAsiaTheme="minorEastAsia"/>
          <w:lang w:val="en-US" w:eastAsia="zh-CN"/>
        </w:rPr>
      </w:pPr>
      <m:oMath>
        <m:sSub>
          <m:sSubPr>
            <m:ctrlPr>
              <w:rPr>
                <w:rFonts w:ascii="Cambria Math" w:hAnsi="Cambria Math" w:cs="宋体"/>
                <w:i/>
              </w:rPr>
            </m:ctrlPr>
          </m:sSubPr>
          <m:e>
            <m:r>
              <m:rPr/>
              <w:rPr>
                <w:rFonts w:ascii="Cambria Math" w:hAnsi="Cambria Math" w:cs="宋体"/>
              </w:rPr>
              <m:t>η</m:t>
            </m:r>
            <m:ctrlPr>
              <w:rPr>
                <w:rFonts w:ascii="Cambria Math" w:hAnsi="Cambria Math" w:cs="宋体"/>
                <w:i/>
              </w:rPr>
            </m:ctrlPr>
          </m:e>
          <m:sub>
            <m:r>
              <m:rPr/>
              <w:rPr>
                <w:rFonts w:ascii="Cambria Math" w:hAnsi="Cambria Math" w:cs="宋体"/>
              </w:rPr>
              <m:t>p</m:t>
            </m:r>
            <m:ctrlPr>
              <w:rPr>
                <w:rFonts w:ascii="Cambria Math" w:hAnsi="Cambria Math" w:cs="宋体"/>
                <w:i/>
              </w:rPr>
            </m:ctrlPr>
          </m:sub>
        </m:sSub>
        <m:r>
          <m:rPr>
            <m:sty m:val="p"/>
          </m:rPr>
          <w:rPr>
            <w:rFonts w:hint="eastAsia" w:ascii="Cambria Math" w:hAnsi="Cambria Math" w:cs="宋体"/>
          </w:rPr>
          <m:t>=</m:t>
        </m:r>
        <m:f>
          <m:fPr>
            <m:ctrlPr>
              <w:rPr>
                <w:rFonts w:hint="eastAsia" w:ascii="Cambria Math" w:hAnsi="Cambria Math" w:cs="宋体"/>
              </w:rPr>
            </m:ctrlPr>
          </m:fPr>
          <m:num>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r>
                  <m:rPr>
                    <m:sty m:val="p"/>
                  </m:rPr>
                  <w:rPr>
                    <w:rFonts w:ascii="Cambria Math" w:hAnsi="Cambria Math" w:cs="宋体"/>
                  </w:rPr>
                  <m:t xml:space="preserve">, </m:t>
                </m:r>
                <m:r>
                  <m:rPr/>
                  <w:rPr>
                    <w:rFonts w:ascii="Cambria Math" w:hAnsi="Cambria Math" w:cs="宋体"/>
                  </w:rPr>
                  <m:t>p</m:t>
                </m:r>
                <m:ctrlPr>
                  <w:rPr>
                    <w:rFonts w:ascii="Cambria Math" w:hAnsi="Cambria Math" w:cs="宋体"/>
                  </w:rPr>
                </m:ctrlPr>
              </m:sub>
            </m:sSub>
            <m:r>
              <m:rPr>
                <m:sty m:val="p"/>
              </m:rPr>
              <w:rPr>
                <w:rFonts w:ascii="Cambria Math" w:hAnsi="Cambria Math" w:cs="宋体"/>
              </w:rPr>
              <m:t>−</m:t>
            </m:r>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p</m:t>
                </m:r>
                <m:ctrlPr>
                  <w:rPr>
                    <w:rFonts w:ascii="Cambria Math" w:hAnsi="Cambria Math" w:cs="宋体"/>
                  </w:rPr>
                </m:ctrlPr>
              </m:sub>
            </m:sSub>
            <m:ctrlPr>
              <w:rPr>
                <w:rFonts w:hint="eastAsia" w:ascii="Cambria Math" w:hAnsi="Cambria Math" w:cs="宋体"/>
              </w:rPr>
            </m:ctrlPr>
          </m:num>
          <m:den>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 xml:space="preserve">s, </m:t>
                </m:r>
                <m:r>
                  <m:rPr/>
                  <w:rPr>
                    <w:rFonts w:ascii="Cambria Math" w:hAnsi="Cambria Math" w:cs="宋体"/>
                  </w:rPr>
                  <m:t>p</m:t>
                </m:r>
                <m:ctrlPr>
                  <w:rPr>
                    <w:rFonts w:ascii="Cambria Math" w:hAnsi="Cambria Math" w:cs="宋体"/>
                  </w:rPr>
                </m:ctrlPr>
              </m:sub>
            </m:sSub>
            <m:ctrlPr>
              <w:rPr>
                <w:rFonts w:hint="eastAsia" w:ascii="Cambria Math" w:hAnsi="Cambria Math" w:cs="宋体"/>
              </w:rPr>
            </m:ctrlPr>
          </m:den>
        </m:f>
        <m:r>
          <m:rPr>
            <m:sty m:val="p"/>
          </m:rPr>
          <w:rPr>
            <w:rFonts w:ascii="Cambria Math" w:hAnsi="Cambria Math" w:cs="Cambria Math"/>
          </w:rPr>
          <m:t>×</m:t>
        </m:r>
        <m:r>
          <m:rPr>
            <m:sty m:val="p"/>
          </m:rPr>
          <w:rPr>
            <w:rFonts w:ascii="Cambria Math" w:hAnsi="Cambria Math" w:cs="宋体"/>
          </w:rPr>
          <m:t>100%</m:t>
        </m:r>
      </m:oMath>
      <w:r>
        <w:rPr>
          <w:rFonts w:hint="eastAsia" w:hAnsi="Cambria Math" w:cs="宋体"/>
          <w:b w:val="0"/>
          <w:i w:val="0"/>
          <w:lang w:val="en-US" w:eastAsia="zh-CN"/>
        </w:rPr>
        <w:t xml:space="preserve">                   （4）</w:t>
      </w:r>
    </w:p>
    <w:p w14:paraId="0DC2DCC7">
      <w:pPr>
        <w:rPr>
          <w:rFonts w:ascii="宋体" w:hAnsi="宋体" w:eastAsia="宋体" w:cs="宋体"/>
        </w:rPr>
      </w:pPr>
    </w:p>
    <w:p w14:paraId="079C67CF">
      <w:pPr>
        <w:jc w:val="center"/>
      </w:pPr>
      <w:r>
        <w:drawing>
          <wp:inline distT="0" distB="0" distL="114300" distR="114300">
            <wp:extent cx="3528060" cy="2036445"/>
            <wp:effectExtent l="0" t="0" r="7620" b="571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27"/>
                    <a:stretch>
                      <a:fillRect/>
                    </a:stretch>
                  </pic:blipFill>
                  <pic:spPr>
                    <a:xfrm>
                      <a:off x="0" y="0"/>
                      <a:ext cx="3528060" cy="2036445"/>
                    </a:xfrm>
                    <a:prstGeom prst="rect">
                      <a:avLst/>
                    </a:prstGeom>
                    <a:noFill/>
                    <a:ln>
                      <a:noFill/>
                    </a:ln>
                  </pic:spPr>
                </pic:pic>
              </a:graphicData>
            </a:graphic>
          </wp:inline>
        </w:drawing>
      </w:r>
    </w:p>
    <w:p w14:paraId="16471571">
      <w:pPr>
        <w:jc w:val="center"/>
      </w:pPr>
      <w:r>
        <w:rPr>
          <w:rFonts w:hint="eastAsia"/>
        </w:rPr>
        <w:t xml:space="preserve">图6 </w:t>
      </w:r>
      <w:r>
        <w:rPr>
          <w:rFonts w:hint="eastAsia" w:ascii="宋体" w:hAnsi="宋体" w:eastAsia="宋体" w:cs="宋体"/>
        </w:rPr>
        <w:t>直接比较法</w:t>
      </w:r>
      <w:r>
        <w:rPr>
          <w:rFonts w:hint="eastAsia"/>
        </w:rPr>
        <w:t>校准光通量计</w:t>
      </w:r>
    </w:p>
    <w:p w14:paraId="400E4E17">
      <w:pPr>
        <w:pStyle w:val="21"/>
      </w:pPr>
      <w:bookmarkStart w:id="28" w:name="_Toc7123"/>
      <w:bookmarkStart w:id="29" w:name="_Toc10312"/>
      <w:bookmarkStart w:id="30" w:name="_Toc301161832"/>
      <w:r>
        <w:rPr>
          <w:rFonts w:hint="eastAsia"/>
        </w:rPr>
        <w:t>8</w:t>
      </w:r>
      <w:r>
        <w:t xml:space="preserve">  </w:t>
      </w:r>
      <w:r>
        <w:rPr>
          <w:rFonts w:hint="eastAsia"/>
        </w:rPr>
        <w:t>校准结果表达</w:t>
      </w:r>
      <w:bookmarkEnd w:id="28"/>
      <w:bookmarkEnd w:id="29"/>
      <w:bookmarkEnd w:id="30"/>
    </w:p>
    <w:p w14:paraId="7FD6B17A">
      <w:pPr>
        <w:ind w:firstLine="480" w:firstLineChars="200"/>
        <w:rPr>
          <w:rFonts w:asciiTheme="minorEastAsia" w:hAnsiTheme="minorEastAsia"/>
        </w:rPr>
      </w:pPr>
      <w:bookmarkStart w:id="31" w:name="_Toc31266"/>
      <w:bookmarkStart w:id="32" w:name="_Toc519778271"/>
      <w:bookmarkStart w:id="33" w:name="_Toc301161833"/>
      <w:r>
        <w:rPr>
          <w:rFonts w:asciiTheme="minorEastAsia" w:hAnsiTheme="minorEastAsia"/>
        </w:rPr>
        <w:t>校准</w:t>
      </w:r>
      <w:r>
        <w:rPr>
          <w:rFonts w:hint="eastAsia" w:asciiTheme="minorEastAsia" w:hAnsiTheme="minorEastAsia"/>
        </w:rPr>
        <w:t>结果应在校准证书或校准报告上反映，</w:t>
      </w:r>
      <w:r>
        <w:rPr>
          <w:rFonts w:asciiTheme="minorEastAsia" w:hAnsiTheme="minorEastAsia"/>
        </w:rPr>
        <w:t>校准证书</w:t>
      </w:r>
      <w:r>
        <w:rPr>
          <w:rFonts w:hint="eastAsia" w:asciiTheme="minorEastAsia" w:hAnsiTheme="minorEastAsia"/>
        </w:rPr>
        <w:t>数据页格式</w:t>
      </w:r>
      <w:r>
        <w:rPr>
          <w:rFonts w:asciiTheme="minorEastAsia" w:hAnsiTheme="minorEastAsia"/>
        </w:rPr>
        <w:t>见附录A。</w:t>
      </w:r>
      <w:r>
        <w:rPr>
          <w:rFonts w:hint="eastAsia" w:asciiTheme="minorEastAsia" w:hAnsiTheme="minorEastAsia"/>
        </w:rPr>
        <w:t>校准证书或校准报告</w:t>
      </w:r>
      <w:r>
        <w:rPr>
          <w:rFonts w:asciiTheme="minorEastAsia" w:hAnsiTheme="minorEastAsia"/>
        </w:rPr>
        <w:t>应至少包括以下信息：</w:t>
      </w:r>
    </w:p>
    <w:p w14:paraId="6A638F74">
      <w:pPr>
        <w:rPr>
          <w:rFonts w:ascii="宋体" w:hAnsi="宋体"/>
        </w:rPr>
      </w:pPr>
      <w:r>
        <w:rPr>
          <w:rFonts w:ascii="宋体" w:hAnsi="宋体"/>
        </w:rPr>
        <w:t>a)</w:t>
      </w:r>
      <w:r>
        <w:rPr>
          <w:rFonts w:hint="eastAsia" w:ascii="宋体" w:hAnsi="宋体"/>
        </w:rPr>
        <w:t xml:space="preserve"> 标题：“校准证书”；</w:t>
      </w:r>
    </w:p>
    <w:p w14:paraId="088331FB">
      <w:pPr>
        <w:rPr>
          <w:rFonts w:ascii="宋体" w:hAnsi="宋体"/>
        </w:rPr>
      </w:pPr>
      <w:r>
        <w:rPr>
          <w:rFonts w:ascii="宋体" w:hAnsi="宋体"/>
        </w:rPr>
        <w:t>b)</w:t>
      </w:r>
      <w:r>
        <w:rPr>
          <w:rFonts w:hint="eastAsia" w:ascii="宋体" w:hAnsi="宋体"/>
        </w:rPr>
        <w:t xml:space="preserve"> 实验室名称和地址；</w:t>
      </w:r>
    </w:p>
    <w:p w14:paraId="2C211FAF">
      <w:pPr>
        <w:rPr>
          <w:rFonts w:ascii="宋体" w:hAnsi="宋体"/>
        </w:rPr>
      </w:pPr>
      <w:r>
        <w:rPr>
          <w:rFonts w:ascii="宋体" w:hAnsi="宋体"/>
        </w:rPr>
        <w:t xml:space="preserve">c) </w:t>
      </w:r>
      <w:r>
        <w:rPr>
          <w:rFonts w:hint="eastAsia" w:ascii="宋体" w:hAnsi="宋体"/>
        </w:rPr>
        <w:t>进行校准的地点（如果与实验室地址不同）；</w:t>
      </w:r>
    </w:p>
    <w:p w14:paraId="0DC94A94">
      <w:pPr>
        <w:rPr>
          <w:rFonts w:ascii="宋体" w:hAnsi="宋体"/>
        </w:rPr>
      </w:pPr>
      <w:r>
        <w:rPr>
          <w:rFonts w:ascii="宋体" w:hAnsi="宋体"/>
        </w:rPr>
        <w:t xml:space="preserve">d) </w:t>
      </w:r>
      <w:r>
        <w:rPr>
          <w:rFonts w:hint="eastAsia" w:ascii="宋体" w:hAnsi="宋体"/>
        </w:rPr>
        <w:t>证书的唯一性标识（如编号），每页及总页数标识；</w:t>
      </w:r>
    </w:p>
    <w:p w14:paraId="7E3EC69C">
      <w:pPr>
        <w:rPr>
          <w:rFonts w:ascii="宋体" w:hAnsi="宋体"/>
        </w:rPr>
      </w:pPr>
      <w:r>
        <w:rPr>
          <w:rFonts w:ascii="宋体" w:hAnsi="宋体"/>
        </w:rPr>
        <w:t xml:space="preserve">e) </w:t>
      </w:r>
      <w:r>
        <w:rPr>
          <w:rFonts w:hint="eastAsia" w:ascii="宋体" w:hAnsi="宋体"/>
        </w:rPr>
        <w:t xml:space="preserve">客户的名称和地址； </w:t>
      </w:r>
    </w:p>
    <w:p w14:paraId="49564D60">
      <w:pPr>
        <w:rPr>
          <w:rFonts w:ascii="宋体" w:hAnsi="宋体"/>
        </w:rPr>
      </w:pPr>
      <w:r>
        <w:rPr>
          <w:rFonts w:ascii="宋体" w:hAnsi="宋体"/>
        </w:rPr>
        <w:t>f)</w:t>
      </w:r>
      <w:r>
        <w:rPr>
          <w:rFonts w:hint="eastAsia" w:ascii="宋体" w:hAnsi="宋体"/>
        </w:rPr>
        <w:t xml:space="preserve"> 被校对象的描述和明确标识；</w:t>
      </w:r>
    </w:p>
    <w:p w14:paraId="0EE33BB6">
      <w:pPr>
        <w:rPr>
          <w:rFonts w:ascii="宋体" w:hAnsi="宋体"/>
        </w:rPr>
      </w:pPr>
      <w:r>
        <w:rPr>
          <w:rFonts w:ascii="宋体" w:hAnsi="宋体"/>
        </w:rPr>
        <w:t xml:space="preserve">g) </w:t>
      </w:r>
      <w:r>
        <w:rPr>
          <w:rFonts w:hint="eastAsia" w:ascii="宋体" w:hAnsi="宋体"/>
        </w:rPr>
        <w:t>进行校准的日期，如果与校准结果的有效性和应用有关时，应说明被校对象的接受日期；</w:t>
      </w:r>
    </w:p>
    <w:p w14:paraId="3E7674CF">
      <w:pPr>
        <w:rPr>
          <w:rFonts w:ascii="宋体" w:hAnsi="宋体"/>
        </w:rPr>
      </w:pPr>
      <w:r>
        <w:rPr>
          <w:rFonts w:hint="eastAsia" w:ascii="宋体" w:hAnsi="宋体"/>
        </w:rPr>
        <w:t>h) 如果与校准结果的有效性应用有关时，应对被校样品的抽样程序进行说明；</w:t>
      </w:r>
    </w:p>
    <w:p w14:paraId="616BEBCF">
      <w:pPr>
        <w:rPr>
          <w:rFonts w:ascii="宋体" w:hAnsi="宋体"/>
        </w:rPr>
      </w:pPr>
      <w:r>
        <w:rPr>
          <w:rFonts w:hint="eastAsia" w:ascii="宋体" w:hAnsi="宋体"/>
        </w:rPr>
        <w:t>i) 校准所依据的技术规范的标识，包括名称及代号；</w:t>
      </w:r>
    </w:p>
    <w:p w14:paraId="04425066">
      <w:pPr>
        <w:rPr>
          <w:rFonts w:ascii="宋体" w:hAnsi="宋体"/>
        </w:rPr>
      </w:pPr>
      <w:r>
        <w:rPr>
          <w:rFonts w:hint="eastAsia" w:ascii="宋体" w:hAnsi="宋体"/>
        </w:rPr>
        <w:t>j) 本次校准所用测量标准的溯源性及有效性说明；</w:t>
      </w:r>
    </w:p>
    <w:p w14:paraId="7F13179E">
      <w:pPr>
        <w:rPr>
          <w:rFonts w:ascii="宋体" w:hAnsi="宋体"/>
        </w:rPr>
      </w:pPr>
      <w:r>
        <w:rPr>
          <w:rFonts w:hint="eastAsia" w:ascii="宋体" w:hAnsi="宋体"/>
        </w:rPr>
        <w:t>k) 校准环境的描述；</w:t>
      </w:r>
    </w:p>
    <w:p w14:paraId="1A7DFBF1">
      <w:pPr>
        <w:rPr>
          <w:rFonts w:ascii="宋体" w:hAnsi="宋体"/>
        </w:rPr>
      </w:pPr>
      <w:r>
        <w:rPr>
          <w:rFonts w:hint="eastAsia" w:ascii="宋体" w:hAnsi="宋体"/>
        </w:rPr>
        <w:t>l) 校准结果及其测量不确定度的说明；</w:t>
      </w:r>
    </w:p>
    <w:p w14:paraId="6E37039F">
      <w:pPr>
        <w:rPr>
          <w:rFonts w:ascii="宋体" w:hAnsi="宋体"/>
        </w:rPr>
      </w:pPr>
      <w:r>
        <w:rPr>
          <w:rFonts w:hint="eastAsia" w:ascii="宋体" w:hAnsi="宋体"/>
        </w:rPr>
        <w:t>m) 对校准规范的偏离的说明；</w:t>
      </w:r>
    </w:p>
    <w:p w14:paraId="4F92D802">
      <w:pPr>
        <w:rPr>
          <w:rFonts w:ascii="宋体" w:hAnsi="宋体"/>
        </w:rPr>
      </w:pPr>
      <w:r>
        <w:rPr>
          <w:rFonts w:hint="eastAsia" w:ascii="宋体" w:hAnsi="宋体"/>
        </w:rPr>
        <w:t>n）校准证书或校准报告签发人的签名、职务或等效标识；</w:t>
      </w:r>
    </w:p>
    <w:p w14:paraId="4F759845">
      <w:pPr>
        <w:rPr>
          <w:rFonts w:ascii="宋体" w:hAnsi="宋体"/>
        </w:rPr>
      </w:pPr>
      <w:r>
        <w:rPr>
          <w:rFonts w:hint="eastAsia" w:ascii="宋体" w:hAnsi="宋体"/>
        </w:rPr>
        <w:t>o）校准结果仅对被校对象有效的声明；</w:t>
      </w:r>
    </w:p>
    <w:p w14:paraId="6D5F7D35">
      <w:pPr>
        <w:rPr>
          <w:rFonts w:ascii="宋体" w:hAnsi="宋体"/>
        </w:rPr>
      </w:pPr>
      <w:r>
        <w:rPr>
          <w:rFonts w:hint="eastAsia" w:ascii="宋体" w:hAnsi="宋体"/>
        </w:rPr>
        <w:t>p）未经实验室书面批准，不得部分复制证书的声明。</w:t>
      </w:r>
    </w:p>
    <w:p w14:paraId="03535AE9">
      <w:pPr>
        <w:pStyle w:val="21"/>
      </w:pPr>
      <w:bookmarkStart w:id="34" w:name="_Toc32710"/>
      <w:bookmarkStart w:id="35" w:name="_Toc29090"/>
      <w:r>
        <w:rPr>
          <w:rFonts w:hint="eastAsia"/>
        </w:rPr>
        <w:t>9</w:t>
      </w:r>
      <w:r>
        <w:t xml:space="preserve">  复校时间间隔</w:t>
      </w:r>
      <w:bookmarkEnd w:id="31"/>
      <w:bookmarkEnd w:id="32"/>
      <w:bookmarkEnd w:id="33"/>
      <w:bookmarkEnd w:id="34"/>
      <w:bookmarkEnd w:id="35"/>
    </w:p>
    <w:p w14:paraId="2FD34B7A">
      <w:pPr>
        <w:rPr>
          <w:rFonts w:asciiTheme="minorEastAsia" w:hAnsiTheme="minorEastAsia"/>
        </w:rPr>
      </w:pPr>
      <w:r>
        <w:rPr>
          <w:rFonts w:hint="eastAsia" w:asciiTheme="minorEastAsia" w:hAnsiTheme="minorEastAsia"/>
        </w:rPr>
        <w:tab/>
      </w:r>
      <w:r>
        <w:rPr>
          <w:rFonts w:hint="eastAsia" w:asciiTheme="minorEastAsia" w:hAnsiTheme="minorEastAsia"/>
        </w:rPr>
        <w:t>复校时间建议为1年。使用特别频繁时应适当缩短，如果发现测量结果异常时，应随时进行校准。使用者可根据实际使用情况自主决定复校时间间隔。</w:t>
      </w:r>
    </w:p>
    <w:p w14:paraId="58034EF4">
      <w:pPr>
        <w:rPr>
          <w:rFonts w:asciiTheme="minorEastAsia" w:hAnsiTheme="minorEastAsia"/>
        </w:rPr>
      </w:pPr>
    </w:p>
    <w:p w14:paraId="11F8CA00">
      <w:pPr>
        <w:rPr>
          <w:rFonts w:asciiTheme="minorEastAsia" w:hAnsiTheme="minorEastAsia"/>
        </w:rPr>
      </w:pPr>
    </w:p>
    <w:p w14:paraId="106A0FEF">
      <w:pPr>
        <w:rPr>
          <w:rFonts w:asciiTheme="minorEastAsia" w:hAnsiTheme="minorEastAsia"/>
        </w:rPr>
      </w:pPr>
      <w:r>
        <w:rPr>
          <w:rFonts w:hint="eastAsia" w:asciiTheme="minorEastAsia" w:hAnsiTheme="minorEastAsia"/>
        </w:rPr>
        <w:br w:type="page"/>
      </w:r>
    </w:p>
    <w:p w14:paraId="4FF20490">
      <w:pPr>
        <w:pStyle w:val="21"/>
      </w:pPr>
      <w:bookmarkStart w:id="36" w:name="_Toc519778272"/>
      <w:bookmarkStart w:id="37" w:name="_Toc28407"/>
      <w:bookmarkStart w:id="38" w:name="_Toc301161834"/>
      <w:bookmarkStart w:id="39" w:name="_Toc17675"/>
      <w:bookmarkStart w:id="40" w:name="_Toc15186"/>
      <w:r>
        <w:rPr>
          <w:rFonts w:hint="eastAsia"/>
        </w:rPr>
        <w:t>附录A</w:t>
      </w:r>
      <w:bookmarkEnd w:id="36"/>
      <w:bookmarkEnd w:id="37"/>
      <w:bookmarkEnd w:id="38"/>
      <w:r>
        <w:rPr>
          <w:rFonts w:hint="eastAsia"/>
        </w:rPr>
        <w:t xml:space="preserve"> </w:t>
      </w:r>
      <w:r>
        <w:rPr>
          <w:rFonts w:hint="eastAsia"/>
          <w:kern w:val="0"/>
        </w:rPr>
        <w:t>校准证书</w:t>
      </w:r>
      <w:r>
        <w:rPr>
          <w:rFonts w:hint="eastAsia"/>
        </w:rPr>
        <w:t>内页参考格式</w:t>
      </w:r>
      <w:bookmarkEnd w:id="39"/>
      <w:bookmarkEnd w:id="40"/>
    </w:p>
    <w:p w14:paraId="12A5DFC2">
      <w:pPr>
        <w:pStyle w:val="25"/>
      </w:pPr>
      <w:r>
        <w:rPr>
          <w:rFonts w:hint="eastAsia"/>
          <w:kern w:val="0"/>
        </w:rPr>
        <w:t>校准证书</w:t>
      </w:r>
      <w:r>
        <w:rPr>
          <w:rFonts w:hint="eastAsia"/>
        </w:rPr>
        <w:t>内页参考格式</w:t>
      </w:r>
    </w:p>
    <w:p w14:paraId="0085C7FC">
      <w:pPr>
        <w:pStyle w:val="25"/>
      </w:pPr>
    </w:p>
    <w:p w14:paraId="2755ABFF">
      <w:pPr>
        <w:spacing w:line="300" w:lineRule="exact"/>
        <w:rPr>
          <w:rFonts w:ascii="宋体" w:hAnsi="宋体"/>
        </w:rPr>
      </w:pPr>
      <w:r>
        <w:rPr>
          <w:rFonts w:hint="eastAsia" w:ascii="宋体" w:hAnsi="宋体"/>
          <w:spacing w:val="20"/>
        </w:rPr>
        <w:t>证书编号</w:t>
      </w:r>
      <w:r>
        <w:rPr>
          <w:rFonts w:hint="eastAsia" w:ascii="宋体" w:hAnsi="宋体"/>
        </w:rPr>
        <w:t>：</w:t>
      </w:r>
    </w:p>
    <w:p w14:paraId="1CB417E1">
      <w:pPr>
        <w:spacing w:line="300" w:lineRule="exact"/>
        <w:rPr>
          <w:rFonts w:ascii="宋体" w:hAnsi="宋体"/>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30"/>
        <w:gridCol w:w="2130"/>
        <w:gridCol w:w="2130"/>
      </w:tblGrid>
      <w:tr w14:paraId="2E6F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2129" w:type="dxa"/>
            <w:vAlign w:val="center"/>
          </w:tcPr>
          <w:p w14:paraId="4404C13B">
            <w:pPr>
              <w:jc w:val="center"/>
              <w:rPr>
                <w:rFonts w:asciiTheme="minorEastAsia" w:hAnsiTheme="minorEastAsia"/>
              </w:rPr>
            </w:pPr>
            <w:r>
              <w:rPr>
                <w:rFonts w:hint="eastAsia" w:asciiTheme="minorEastAsia" w:hAnsiTheme="minorEastAsia"/>
              </w:rPr>
              <w:t>标准值</w:t>
            </w:r>
          </w:p>
        </w:tc>
        <w:tc>
          <w:tcPr>
            <w:tcW w:w="2130" w:type="dxa"/>
            <w:vAlign w:val="center"/>
          </w:tcPr>
          <w:p w14:paraId="0575D642">
            <w:pPr>
              <w:jc w:val="center"/>
              <w:rPr>
                <w:rFonts w:asciiTheme="minorEastAsia" w:hAnsiTheme="minorEastAsia"/>
              </w:rPr>
            </w:pPr>
            <w:r>
              <w:rPr>
                <w:rFonts w:hint="eastAsia" w:asciiTheme="minorEastAsia" w:hAnsiTheme="minorEastAsia"/>
              </w:rPr>
              <w:t>仪器读数</w:t>
            </w:r>
          </w:p>
        </w:tc>
        <w:tc>
          <w:tcPr>
            <w:tcW w:w="2130" w:type="dxa"/>
            <w:vAlign w:val="center"/>
          </w:tcPr>
          <w:p w14:paraId="14A9474B">
            <w:pPr>
              <w:jc w:val="center"/>
              <w:rPr>
                <w:rFonts w:asciiTheme="minorEastAsia" w:hAnsiTheme="minorEastAsia"/>
              </w:rPr>
            </w:pPr>
            <w:r>
              <w:rPr>
                <w:rFonts w:hint="eastAsia" w:asciiTheme="minorEastAsia" w:hAnsiTheme="minorEastAsia"/>
              </w:rPr>
              <w:t>相对示值偏差</w:t>
            </w:r>
          </w:p>
        </w:tc>
        <w:tc>
          <w:tcPr>
            <w:tcW w:w="2130" w:type="dxa"/>
            <w:vAlign w:val="center"/>
          </w:tcPr>
          <w:p w14:paraId="3D20CD41">
            <w:pPr>
              <w:jc w:val="center"/>
              <w:rPr>
                <w:rFonts w:asciiTheme="minorEastAsia" w:hAnsiTheme="minorEastAsia"/>
              </w:rPr>
            </w:pPr>
            <w:r>
              <w:rPr>
                <w:rFonts w:hint="eastAsia" w:asciiTheme="minorEastAsia" w:hAnsiTheme="minorEastAsia"/>
              </w:rPr>
              <w:t>校准不确定度</w:t>
            </w:r>
          </w:p>
        </w:tc>
      </w:tr>
      <w:tr w14:paraId="0D2D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7783508A">
            <w:pPr>
              <w:spacing w:line="480" w:lineRule="auto"/>
              <w:rPr>
                <w:rFonts w:asciiTheme="minorEastAsia" w:hAnsiTheme="minorEastAsia"/>
              </w:rPr>
            </w:pPr>
          </w:p>
        </w:tc>
        <w:tc>
          <w:tcPr>
            <w:tcW w:w="2130" w:type="dxa"/>
          </w:tcPr>
          <w:p w14:paraId="03B5BDAA">
            <w:pPr>
              <w:spacing w:line="480" w:lineRule="auto"/>
              <w:rPr>
                <w:rFonts w:asciiTheme="minorEastAsia" w:hAnsiTheme="minorEastAsia"/>
              </w:rPr>
            </w:pPr>
          </w:p>
        </w:tc>
        <w:tc>
          <w:tcPr>
            <w:tcW w:w="2130" w:type="dxa"/>
          </w:tcPr>
          <w:p w14:paraId="6E39DC3A">
            <w:pPr>
              <w:spacing w:line="480" w:lineRule="auto"/>
              <w:rPr>
                <w:rFonts w:asciiTheme="minorEastAsia" w:hAnsiTheme="minorEastAsia"/>
              </w:rPr>
            </w:pPr>
          </w:p>
        </w:tc>
        <w:tc>
          <w:tcPr>
            <w:tcW w:w="2130" w:type="dxa"/>
          </w:tcPr>
          <w:p w14:paraId="3CC28320">
            <w:pPr>
              <w:spacing w:line="480" w:lineRule="auto"/>
              <w:rPr>
                <w:rFonts w:asciiTheme="minorEastAsia" w:hAnsiTheme="minorEastAsia"/>
              </w:rPr>
            </w:pPr>
          </w:p>
        </w:tc>
      </w:tr>
      <w:tr w14:paraId="7D7D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18001ABD">
            <w:pPr>
              <w:spacing w:line="480" w:lineRule="auto"/>
              <w:rPr>
                <w:rFonts w:asciiTheme="minorEastAsia" w:hAnsiTheme="minorEastAsia"/>
              </w:rPr>
            </w:pPr>
          </w:p>
        </w:tc>
        <w:tc>
          <w:tcPr>
            <w:tcW w:w="2130" w:type="dxa"/>
          </w:tcPr>
          <w:p w14:paraId="570E7AFB">
            <w:pPr>
              <w:spacing w:line="480" w:lineRule="auto"/>
              <w:rPr>
                <w:rFonts w:asciiTheme="minorEastAsia" w:hAnsiTheme="minorEastAsia"/>
              </w:rPr>
            </w:pPr>
          </w:p>
        </w:tc>
        <w:tc>
          <w:tcPr>
            <w:tcW w:w="2130" w:type="dxa"/>
          </w:tcPr>
          <w:p w14:paraId="6190E378">
            <w:pPr>
              <w:spacing w:line="480" w:lineRule="auto"/>
              <w:rPr>
                <w:rFonts w:asciiTheme="minorEastAsia" w:hAnsiTheme="minorEastAsia"/>
              </w:rPr>
            </w:pPr>
          </w:p>
        </w:tc>
        <w:tc>
          <w:tcPr>
            <w:tcW w:w="2130" w:type="dxa"/>
          </w:tcPr>
          <w:p w14:paraId="0E736F34">
            <w:pPr>
              <w:spacing w:line="480" w:lineRule="auto"/>
              <w:rPr>
                <w:rFonts w:asciiTheme="minorEastAsia" w:hAnsiTheme="minorEastAsia"/>
              </w:rPr>
            </w:pPr>
          </w:p>
        </w:tc>
      </w:tr>
      <w:tr w14:paraId="05C34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5F3A704B">
            <w:pPr>
              <w:spacing w:line="480" w:lineRule="auto"/>
              <w:rPr>
                <w:rFonts w:asciiTheme="minorEastAsia" w:hAnsiTheme="minorEastAsia"/>
              </w:rPr>
            </w:pPr>
          </w:p>
        </w:tc>
        <w:tc>
          <w:tcPr>
            <w:tcW w:w="2130" w:type="dxa"/>
          </w:tcPr>
          <w:p w14:paraId="5FF2CFED">
            <w:pPr>
              <w:spacing w:line="480" w:lineRule="auto"/>
              <w:rPr>
                <w:rFonts w:asciiTheme="minorEastAsia" w:hAnsiTheme="minorEastAsia"/>
              </w:rPr>
            </w:pPr>
          </w:p>
        </w:tc>
        <w:tc>
          <w:tcPr>
            <w:tcW w:w="2130" w:type="dxa"/>
          </w:tcPr>
          <w:p w14:paraId="011F9968">
            <w:pPr>
              <w:spacing w:line="480" w:lineRule="auto"/>
              <w:rPr>
                <w:rFonts w:asciiTheme="minorEastAsia" w:hAnsiTheme="minorEastAsia"/>
              </w:rPr>
            </w:pPr>
          </w:p>
        </w:tc>
        <w:tc>
          <w:tcPr>
            <w:tcW w:w="2130" w:type="dxa"/>
          </w:tcPr>
          <w:p w14:paraId="344CEA3F">
            <w:pPr>
              <w:spacing w:line="480" w:lineRule="auto"/>
              <w:rPr>
                <w:rFonts w:asciiTheme="minorEastAsia" w:hAnsiTheme="minorEastAsia"/>
              </w:rPr>
            </w:pPr>
          </w:p>
        </w:tc>
      </w:tr>
      <w:tr w14:paraId="329F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2F8602B4">
            <w:pPr>
              <w:spacing w:line="480" w:lineRule="auto"/>
              <w:rPr>
                <w:rFonts w:asciiTheme="minorEastAsia" w:hAnsiTheme="minorEastAsia"/>
              </w:rPr>
            </w:pPr>
          </w:p>
        </w:tc>
        <w:tc>
          <w:tcPr>
            <w:tcW w:w="2130" w:type="dxa"/>
          </w:tcPr>
          <w:p w14:paraId="43227F7B">
            <w:pPr>
              <w:spacing w:line="480" w:lineRule="auto"/>
              <w:rPr>
                <w:rFonts w:asciiTheme="minorEastAsia" w:hAnsiTheme="minorEastAsia"/>
              </w:rPr>
            </w:pPr>
          </w:p>
        </w:tc>
        <w:tc>
          <w:tcPr>
            <w:tcW w:w="2130" w:type="dxa"/>
          </w:tcPr>
          <w:p w14:paraId="1D8169D7">
            <w:pPr>
              <w:spacing w:line="480" w:lineRule="auto"/>
              <w:rPr>
                <w:rFonts w:asciiTheme="minorEastAsia" w:hAnsiTheme="minorEastAsia"/>
              </w:rPr>
            </w:pPr>
          </w:p>
        </w:tc>
        <w:tc>
          <w:tcPr>
            <w:tcW w:w="2130" w:type="dxa"/>
          </w:tcPr>
          <w:p w14:paraId="08C6184D">
            <w:pPr>
              <w:spacing w:line="480" w:lineRule="auto"/>
              <w:rPr>
                <w:rFonts w:asciiTheme="minorEastAsia" w:hAnsiTheme="minorEastAsia"/>
              </w:rPr>
            </w:pPr>
          </w:p>
        </w:tc>
      </w:tr>
      <w:tr w14:paraId="5366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1A152D9A">
            <w:pPr>
              <w:spacing w:line="480" w:lineRule="auto"/>
              <w:rPr>
                <w:rFonts w:asciiTheme="minorEastAsia" w:hAnsiTheme="minorEastAsia"/>
              </w:rPr>
            </w:pPr>
          </w:p>
        </w:tc>
        <w:tc>
          <w:tcPr>
            <w:tcW w:w="2130" w:type="dxa"/>
          </w:tcPr>
          <w:p w14:paraId="39833B65">
            <w:pPr>
              <w:spacing w:line="480" w:lineRule="auto"/>
              <w:rPr>
                <w:rFonts w:asciiTheme="minorEastAsia" w:hAnsiTheme="minorEastAsia"/>
              </w:rPr>
            </w:pPr>
          </w:p>
        </w:tc>
        <w:tc>
          <w:tcPr>
            <w:tcW w:w="2130" w:type="dxa"/>
          </w:tcPr>
          <w:p w14:paraId="7A8A7258">
            <w:pPr>
              <w:spacing w:line="480" w:lineRule="auto"/>
              <w:rPr>
                <w:rFonts w:asciiTheme="minorEastAsia" w:hAnsiTheme="minorEastAsia"/>
              </w:rPr>
            </w:pPr>
          </w:p>
        </w:tc>
        <w:tc>
          <w:tcPr>
            <w:tcW w:w="2130" w:type="dxa"/>
          </w:tcPr>
          <w:p w14:paraId="2C51A650">
            <w:pPr>
              <w:spacing w:line="480" w:lineRule="auto"/>
              <w:rPr>
                <w:rFonts w:asciiTheme="minorEastAsia" w:hAnsiTheme="minorEastAsia"/>
              </w:rPr>
            </w:pPr>
          </w:p>
        </w:tc>
      </w:tr>
      <w:tr w14:paraId="2172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0C1EF795">
            <w:pPr>
              <w:spacing w:line="480" w:lineRule="auto"/>
              <w:rPr>
                <w:rFonts w:asciiTheme="minorEastAsia" w:hAnsiTheme="minorEastAsia"/>
              </w:rPr>
            </w:pPr>
          </w:p>
        </w:tc>
        <w:tc>
          <w:tcPr>
            <w:tcW w:w="2130" w:type="dxa"/>
          </w:tcPr>
          <w:p w14:paraId="1B0CC933">
            <w:pPr>
              <w:spacing w:line="480" w:lineRule="auto"/>
              <w:rPr>
                <w:rFonts w:asciiTheme="minorEastAsia" w:hAnsiTheme="minorEastAsia"/>
              </w:rPr>
            </w:pPr>
          </w:p>
        </w:tc>
        <w:tc>
          <w:tcPr>
            <w:tcW w:w="2130" w:type="dxa"/>
          </w:tcPr>
          <w:p w14:paraId="548F7A99">
            <w:pPr>
              <w:spacing w:line="480" w:lineRule="auto"/>
              <w:rPr>
                <w:rFonts w:asciiTheme="minorEastAsia" w:hAnsiTheme="minorEastAsia"/>
              </w:rPr>
            </w:pPr>
          </w:p>
        </w:tc>
        <w:tc>
          <w:tcPr>
            <w:tcW w:w="2130" w:type="dxa"/>
          </w:tcPr>
          <w:p w14:paraId="1F5F2DF4">
            <w:pPr>
              <w:spacing w:line="480" w:lineRule="auto"/>
              <w:rPr>
                <w:rFonts w:asciiTheme="minorEastAsia" w:hAnsiTheme="minorEastAsia"/>
              </w:rPr>
            </w:pPr>
          </w:p>
        </w:tc>
      </w:tr>
      <w:tr w14:paraId="0215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483594B6">
            <w:pPr>
              <w:spacing w:line="480" w:lineRule="auto"/>
              <w:rPr>
                <w:rFonts w:asciiTheme="minorEastAsia" w:hAnsiTheme="minorEastAsia"/>
              </w:rPr>
            </w:pPr>
          </w:p>
        </w:tc>
        <w:tc>
          <w:tcPr>
            <w:tcW w:w="2130" w:type="dxa"/>
          </w:tcPr>
          <w:p w14:paraId="4A96F244">
            <w:pPr>
              <w:spacing w:line="480" w:lineRule="auto"/>
              <w:rPr>
                <w:rFonts w:asciiTheme="minorEastAsia" w:hAnsiTheme="minorEastAsia"/>
              </w:rPr>
            </w:pPr>
          </w:p>
        </w:tc>
        <w:tc>
          <w:tcPr>
            <w:tcW w:w="2130" w:type="dxa"/>
          </w:tcPr>
          <w:p w14:paraId="1BD906FA">
            <w:pPr>
              <w:spacing w:line="480" w:lineRule="auto"/>
              <w:rPr>
                <w:rFonts w:asciiTheme="minorEastAsia" w:hAnsiTheme="minorEastAsia"/>
              </w:rPr>
            </w:pPr>
          </w:p>
        </w:tc>
        <w:tc>
          <w:tcPr>
            <w:tcW w:w="2130" w:type="dxa"/>
          </w:tcPr>
          <w:p w14:paraId="6FED6A5A">
            <w:pPr>
              <w:spacing w:line="480" w:lineRule="auto"/>
              <w:rPr>
                <w:rFonts w:asciiTheme="minorEastAsia" w:hAnsiTheme="minorEastAsia"/>
              </w:rPr>
            </w:pPr>
          </w:p>
        </w:tc>
      </w:tr>
      <w:tr w14:paraId="04D5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9" w:type="dxa"/>
          </w:tcPr>
          <w:p w14:paraId="1E5CAC46">
            <w:pPr>
              <w:spacing w:line="480" w:lineRule="auto"/>
              <w:rPr>
                <w:rFonts w:asciiTheme="minorEastAsia" w:hAnsiTheme="minorEastAsia"/>
              </w:rPr>
            </w:pPr>
          </w:p>
        </w:tc>
        <w:tc>
          <w:tcPr>
            <w:tcW w:w="2130" w:type="dxa"/>
          </w:tcPr>
          <w:p w14:paraId="6449B5D3">
            <w:pPr>
              <w:spacing w:line="480" w:lineRule="auto"/>
              <w:rPr>
                <w:rFonts w:asciiTheme="minorEastAsia" w:hAnsiTheme="minorEastAsia"/>
              </w:rPr>
            </w:pPr>
          </w:p>
        </w:tc>
        <w:tc>
          <w:tcPr>
            <w:tcW w:w="2130" w:type="dxa"/>
          </w:tcPr>
          <w:p w14:paraId="7AD13990">
            <w:pPr>
              <w:spacing w:line="480" w:lineRule="auto"/>
              <w:rPr>
                <w:rFonts w:asciiTheme="minorEastAsia" w:hAnsiTheme="minorEastAsia"/>
              </w:rPr>
            </w:pPr>
          </w:p>
        </w:tc>
        <w:tc>
          <w:tcPr>
            <w:tcW w:w="2130" w:type="dxa"/>
          </w:tcPr>
          <w:p w14:paraId="479A4851">
            <w:pPr>
              <w:spacing w:line="480" w:lineRule="auto"/>
              <w:rPr>
                <w:rFonts w:asciiTheme="minorEastAsia" w:hAnsiTheme="minorEastAsia"/>
              </w:rPr>
            </w:pPr>
          </w:p>
        </w:tc>
      </w:tr>
      <w:tr w14:paraId="6C94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9" w:type="dxa"/>
          </w:tcPr>
          <w:p w14:paraId="7F56FB22">
            <w:pPr>
              <w:spacing w:line="480" w:lineRule="auto"/>
              <w:rPr>
                <w:rFonts w:asciiTheme="minorEastAsia" w:hAnsiTheme="minorEastAsia"/>
              </w:rPr>
            </w:pPr>
          </w:p>
        </w:tc>
        <w:tc>
          <w:tcPr>
            <w:tcW w:w="2130" w:type="dxa"/>
          </w:tcPr>
          <w:p w14:paraId="46ED31D3">
            <w:pPr>
              <w:spacing w:line="480" w:lineRule="auto"/>
              <w:rPr>
                <w:rFonts w:asciiTheme="minorEastAsia" w:hAnsiTheme="minorEastAsia"/>
              </w:rPr>
            </w:pPr>
          </w:p>
        </w:tc>
        <w:tc>
          <w:tcPr>
            <w:tcW w:w="2130" w:type="dxa"/>
          </w:tcPr>
          <w:p w14:paraId="149D49D7">
            <w:pPr>
              <w:spacing w:line="480" w:lineRule="auto"/>
              <w:rPr>
                <w:rFonts w:asciiTheme="minorEastAsia" w:hAnsiTheme="minorEastAsia"/>
              </w:rPr>
            </w:pPr>
          </w:p>
        </w:tc>
        <w:tc>
          <w:tcPr>
            <w:tcW w:w="2130" w:type="dxa"/>
          </w:tcPr>
          <w:p w14:paraId="71267CF1">
            <w:pPr>
              <w:spacing w:line="480" w:lineRule="auto"/>
              <w:rPr>
                <w:rFonts w:asciiTheme="minorEastAsia" w:hAnsiTheme="minorEastAsia"/>
              </w:rPr>
            </w:pPr>
          </w:p>
        </w:tc>
      </w:tr>
      <w:tr w14:paraId="0BC8D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09AE32E6">
            <w:pPr>
              <w:spacing w:line="480" w:lineRule="auto"/>
              <w:rPr>
                <w:rFonts w:asciiTheme="minorEastAsia" w:hAnsiTheme="minorEastAsia"/>
              </w:rPr>
            </w:pPr>
          </w:p>
        </w:tc>
        <w:tc>
          <w:tcPr>
            <w:tcW w:w="2130" w:type="dxa"/>
          </w:tcPr>
          <w:p w14:paraId="7AE367E9">
            <w:pPr>
              <w:spacing w:line="480" w:lineRule="auto"/>
              <w:rPr>
                <w:rFonts w:asciiTheme="minorEastAsia" w:hAnsiTheme="minorEastAsia"/>
              </w:rPr>
            </w:pPr>
          </w:p>
        </w:tc>
        <w:tc>
          <w:tcPr>
            <w:tcW w:w="2130" w:type="dxa"/>
          </w:tcPr>
          <w:p w14:paraId="011644FE">
            <w:pPr>
              <w:spacing w:line="480" w:lineRule="auto"/>
              <w:rPr>
                <w:rFonts w:asciiTheme="minorEastAsia" w:hAnsiTheme="minorEastAsia"/>
              </w:rPr>
            </w:pPr>
          </w:p>
        </w:tc>
        <w:tc>
          <w:tcPr>
            <w:tcW w:w="2130" w:type="dxa"/>
          </w:tcPr>
          <w:p w14:paraId="4E6174C0">
            <w:pPr>
              <w:spacing w:line="480" w:lineRule="auto"/>
              <w:rPr>
                <w:rFonts w:asciiTheme="minorEastAsia" w:hAnsiTheme="minorEastAsia"/>
              </w:rPr>
            </w:pPr>
          </w:p>
        </w:tc>
      </w:tr>
      <w:tr w14:paraId="7646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3303D276">
            <w:pPr>
              <w:spacing w:line="480" w:lineRule="auto"/>
              <w:rPr>
                <w:rFonts w:asciiTheme="minorEastAsia" w:hAnsiTheme="minorEastAsia"/>
              </w:rPr>
            </w:pPr>
          </w:p>
        </w:tc>
        <w:tc>
          <w:tcPr>
            <w:tcW w:w="2130" w:type="dxa"/>
          </w:tcPr>
          <w:p w14:paraId="34ADD674">
            <w:pPr>
              <w:spacing w:line="480" w:lineRule="auto"/>
              <w:rPr>
                <w:rFonts w:asciiTheme="minorEastAsia" w:hAnsiTheme="minorEastAsia"/>
              </w:rPr>
            </w:pPr>
          </w:p>
        </w:tc>
        <w:tc>
          <w:tcPr>
            <w:tcW w:w="2130" w:type="dxa"/>
          </w:tcPr>
          <w:p w14:paraId="0C08F4F7">
            <w:pPr>
              <w:spacing w:line="480" w:lineRule="auto"/>
              <w:rPr>
                <w:rFonts w:asciiTheme="minorEastAsia" w:hAnsiTheme="minorEastAsia"/>
              </w:rPr>
            </w:pPr>
          </w:p>
        </w:tc>
        <w:tc>
          <w:tcPr>
            <w:tcW w:w="2130" w:type="dxa"/>
          </w:tcPr>
          <w:p w14:paraId="4EAA4C85">
            <w:pPr>
              <w:spacing w:line="480" w:lineRule="auto"/>
              <w:rPr>
                <w:rFonts w:asciiTheme="minorEastAsia" w:hAnsiTheme="minorEastAsia"/>
              </w:rPr>
            </w:pPr>
          </w:p>
        </w:tc>
      </w:tr>
      <w:tr w14:paraId="2A83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9" w:type="dxa"/>
          </w:tcPr>
          <w:p w14:paraId="068E37EC">
            <w:pPr>
              <w:spacing w:line="480" w:lineRule="auto"/>
              <w:rPr>
                <w:rFonts w:asciiTheme="minorEastAsia" w:hAnsiTheme="minorEastAsia"/>
              </w:rPr>
            </w:pPr>
          </w:p>
        </w:tc>
        <w:tc>
          <w:tcPr>
            <w:tcW w:w="2130" w:type="dxa"/>
          </w:tcPr>
          <w:p w14:paraId="190403F9">
            <w:pPr>
              <w:spacing w:line="480" w:lineRule="auto"/>
              <w:rPr>
                <w:rFonts w:asciiTheme="minorEastAsia" w:hAnsiTheme="minorEastAsia"/>
              </w:rPr>
            </w:pPr>
          </w:p>
        </w:tc>
        <w:tc>
          <w:tcPr>
            <w:tcW w:w="2130" w:type="dxa"/>
          </w:tcPr>
          <w:p w14:paraId="4A191384">
            <w:pPr>
              <w:spacing w:line="480" w:lineRule="auto"/>
              <w:rPr>
                <w:rFonts w:asciiTheme="minorEastAsia" w:hAnsiTheme="minorEastAsia"/>
              </w:rPr>
            </w:pPr>
          </w:p>
        </w:tc>
        <w:tc>
          <w:tcPr>
            <w:tcW w:w="2130" w:type="dxa"/>
          </w:tcPr>
          <w:p w14:paraId="3F0E814D">
            <w:pPr>
              <w:spacing w:line="480" w:lineRule="auto"/>
              <w:rPr>
                <w:rFonts w:asciiTheme="minorEastAsia" w:hAnsiTheme="minorEastAsia"/>
              </w:rPr>
            </w:pPr>
          </w:p>
        </w:tc>
      </w:tr>
    </w:tbl>
    <w:p w14:paraId="062F7633">
      <w:pPr>
        <w:rPr>
          <w:rFonts w:asciiTheme="minorEastAsia" w:hAnsiTheme="minorEastAsia"/>
        </w:rPr>
      </w:pPr>
    </w:p>
    <w:p w14:paraId="65D62B49">
      <w:pPr>
        <w:rPr>
          <w:rFonts w:asciiTheme="minorEastAsia" w:hAnsiTheme="minorEastAsia"/>
        </w:rPr>
      </w:pPr>
    </w:p>
    <w:p w14:paraId="64478887">
      <w:pPr>
        <w:rPr>
          <w:rFonts w:asciiTheme="minorEastAsia" w:hAnsiTheme="minorEastAsia"/>
        </w:rPr>
      </w:pPr>
    </w:p>
    <w:p w14:paraId="274D8A4C">
      <w:pPr>
        <w:rPr>
          <w:rFonts w:asciiTheme="minorEastAsia" w:hAnsiTheme="minorEastAsia"/>
        </w:rPr>
      </w:pPr>
    </w:p>
    <w:p w14:paraId="64BF449F">
      <w:pPr>
        <w:pStyle w:val="18"/>
        <w:ind w:firstLine="480"/>
      </w:pPr>
      <w:r>
        <w:rPr>
          <w:rFonts w:hint="eastAsia" w:eastAsia="黑体"/>
          <w:sz w:val="24"/>
        </w:rPr>
        <w:t xml:space="preserve">校准员：                </w:t>
      </w:r>
      <w:r>
        <w:rPr>
          <w:rFonts w:eastAsia="黑体"/>
          <w:sz w:val="24"/>
        </w:rPr>
        <w:t xml:space="preserve">          </w:t>
      </w:r>
      <w:r>
        <w:rPr>
          <w:rFonts w:hint="eastAsia" w:eastAsia="黑体"/>
          <w:sz w:val="24"/>
        </w:rPr>
        <w:t xml:space="preserve">        核验员：</w:t>
      </w:r>
    </w:p>
    <w:p w14:paraId="18B87EC0">
      <w:pPr>
        <w:spacing w:line="0" w:lineRule="atLeast"/>
        <w:rPr>
          <w:szCs w:val="21"/>
        </w:rPr>
      </w:pPr>
      <w:r>
        <w:rPr>
          <w:rFonts w:hint="eastAsia"/>
        </w:rPr>
        <w:t xml:space="preserve"> </w:t>
      </w:r>
    </w:p>
    <w:p w14:paraId="78E3504E">
      <w:pPr>
        <w:rPr>
          <w:rFonts w:asciiTheme="minorEastAsia" w:hAnsiTheme="minorEastAsia"/>
        </w:rPr>
      </w:pPr>
      <w:r>
        <w:rPr>
          <w:rFonts w:asciiTheme="minorEastAsia" w:hAnsiTheme="minorEastAsia"/>
        </w:rPr>
        <w:br w:type="page"/>
      </w:r>
    </w:p>
    <w:p w14:paraId="438CC842">
      <w:pPr>
        <w:pStyle w:val="21"/>
      </w:pPr>
      <w:bookmarkStart w:id="41" w:name="_Toc32630"/>
      <w:bookmarkStart w:id="42" w:name="_Toc25884"/>
      <w:r>
        <w:rPr>
          <w:rFonts w:hint="eastAsia"/>
        </w:rPr>
        <w:t>附录B 原始记录参考格式</w:t>
      </w:r>
      <w:bookmarkEnd w:id="41"/>
      <w:bookmarkEnd w:id="42"/>
    </w:p>
    <w:p w14:paraId="0AEB52A3">
      <w:pPr>
        <w:pStyle w:val="25"/>
      </w:pPr>
      <w:r>
        <w:rPr>
          <w:rFonts w:hint="eastAsia"/>
        </w:rPr>
        <w:t>原始记录参考格式</w:t>
      </w:r>
    </w:p>
    <w:p w14:paraId="00CDF5B6">
      <w:pPr>
        <w:pStyle w:val="25"/>
        <w:jc w:val="both"/>
        <w:rPr>
          <w:rFonts w:ascii="宋体" w:hAnsi="宋体" w:eastAsia="宋体" w:cs="宋体"/>
          <w:sz w:val="21"/>
          <w:szCs w:val="21"/>
        </w:rPr>
      </w:pPr>
      <w:r>
        <w:rPr>
          <w:rFonts w:hint="eastAsia" w:ascii="宋体" w:hAnsi="宋体" w:eastAsia="宋体" w:cs="宋体"/>
          <w:sz w:val="21"/>
          <w:szCs w:val="21"/>
        </w:rPr>
        <w:t>送检单位及地址: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30"/>
        <w:gridCol w:w="2130"/>
        <w:gridCol w:w="2130"/>
      </w:tblGrid>
      <w:tr w14:paraId="32BA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9" w:type="dxa"/>
            <w:vAlign w:val="center"/>
          </w:tcPr>
          <w:p w14:paraId="7857E6F5">
            <w:pPr>
              <w:jc w:val="center"/>
              <w:rPr>
                <w:rFonts w:asciiTheme="minorEastAsia" w:hAnsiTheme="minorEastAsia"/>
              </w:rPr>
            </w:pPr>
            <w:r>
              <w:rPr>
                <w:rFonts w:hint="eastAsia" w:asciiTheme="minorEastAsia" w:hAnsiTheme="minorEastAsia"/>
              </w:rPr>
              <w:t>标准值/lm</w:t>
            </w:r>
          </w:p>
        </w:tc>
        <w:tc>
          <w:tcPr>
            <w:tcW w:w="2130" w:type="dxa"/>
            <w:vAlign w:val="center"/>
          </w:tcPr>
          <w:p w14:paraId="5F444CC6">
            <w:pPr>
              <w:jc w:val="center"/>
              <w:rPr>
                <w:rFonts w:asciiTheme="minorEastAsia" w:hAnsiTheme="minorEastAsia"/>
              </w:rPr>
            </w:pPr>
            <w:r>
              <w:rPr>
                <w:rFonts w:hint="eastAsia" w:asciiTheme="minorEastAsia" w:hAnsiTheme="minorEastAsia"/>
              </w:rPr>
              <w:t>仪器读数/lm</w:t>
            </w:r>
          </w:p>
        </w:tc>
        <w:tc>
          <w:tcPr>
            <w:tcW w:w="2130" w:type="dxa"/>
            <w:vAlign w:val="center"/>
          </w:tcPr>
          <w:p w14:paraId="5A423267">
            <w:pPr>
              <w:jc w:val="center"/>
              <w:rPr>
                <w:rFonts w:asciiTheme="minorEastAsia" w:hAnsiTheme="minorEastAsia"/>
              </w:rPr>
            </w:pPr>
            <w:r>
              <w:rPr>
                <w:rFonts w:hint="eastAsia" w:asciiTheme="minorEastAsia" w:hAnsiTheme="minorEastAsia"/>
              </w:rPr>
              <w:t>相对示值偏差</w:t>
            </w:r>
          </w:p>
        </w:tc>
        <w:tc>
          <w:tcPr>
            <w:tcW w:w="2130" w:type="dxa"/>
            <w:vAlign w:val="center"/>
          </w:tcPr>
          <w:p w14:paraId="38947787">
            <w:pPr>
              <w:jc w:val="center"/>
              <w:rPr>
                <w:rFonts w:asciiTheme="minorEastAsia" w:hAnsiTheme="minorEastAsia"/>
              </w:rPr>
            </w:pPr>
            <w:r>
              <w:rPr>
                <w:rFonts w:hint="eastAsia" w:asciiTheme="minorEastAsia" w:hAnsiTheme="minorEastAsia"/>
              </w:rPr>
              <w:t>校准不确定度</w:t>
            </w:r>
          </w:p>
        </w:tc>
      </w:tr>
      <w:tr w14:paraId="30E0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31665977">
            <w:pPr>
              <w:spacing w:line="480" w:lineRule="auto"/>
              <w:jc w:val="center"/>
              <w:rPr>
                <w:rFonts w:asciiTheme="minorEastAsia" w:hAnsiTheme="minorEastAsia"/>
              </w:rPr>
            </w:pPr>
          </w:p>
        </w:tc>
        <w:tc>
          <w:tcPr>
            <w:tcW w:w="2130" w:type="dxa"/>
          </w:tcPr>
          <w:p w14:paraId="3E82E773">
            <w:pPr>
              <w:spacing w:line="480" w:lineRule="auto"/>
              <w:jc w:val="center"/>
              <w:rPr>
                <w:rFonts w:asciiTheme="minorEastAsia" w:hAnsiTheme="minorEastAsia"/>
              </w:rPr>
            </w:pPr>
          </w:p>
        </w:tc>
        <w:tc>
          <w:tcPr>
            <w:tcW w:w="2130" w:type="dxa"/>
          </w:tcPr>
          <w:p w14:paraId="3EF5E99D">
            <w:pPr>
              <w:spacing w:line="480" w:lineRule="auto"/>
              <w:jc w:val="center"/>
              <w:rPr>
                <w:rFonts w:asciiTheme="minorEastAsia" w:hAnsiTheme="minorEastAsia"/>
              </w:rPr>
            </w:pPr>
          </w:p>
        </w:tc>
        <w:tc>
          <w:tcPr>
            <w:tcW w:w="2130" w:type="dxa"/>
          </w:tcPr>
          <w:p w14:paraId="7B1006C5">
            <w:pPr>
              <w:spacing w:line="480" w:lineRule="auto"/>
              <w:jc w:val="center"/>
              <w:rPr>
                <w:rFonts w:asciiTheme="minorEastAsia" w:hAnsiTheme="minorEastAsia"/>
              </w:rPr>
            </w:pPr>
          </w:p>
        </w:tc>
      </w:tr>
      <w:tr w14:paraId="14C4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372C8096">
            <w:pPr>
              <w:spacing w:line="480" w:lineRule="auto"/>
              <w:jc w:val="center"/>
              <w:rPr>
                <w:rFonts w:asciiTheme="minorEastAsia" w:hAnsiTheme="minorEastAsia"/>
              </w:rPr>
            </w:pPr>
          </w:p>
        </w:tc>
        <w:tc>
          <w:tcPr>
            <w:tcW w:w="2130" w:type="dxa"/>
          </w:tcPr>
          <w:p w14:paraId="414DDB26">
            <w:pPr>
              <w:spacing w:line="480" w:lineRule="auto"/>
              <w:jc w:val="center"/>
              <w:rPr>
                <w:rFonts w:asciiTheme="minorEastAsia" w:hAnsiTheme="minorEastAsia"/>
              </w:rPr>
            </w:pPr>
          </w:p>
        </w:tc>
        <w:tc>
          <w:tcPr>
            <w:tcW w:w="2130" w:type="dxa"/>
          </w:tcPr>
          <w:p w14:paraId="62DD26C8">
            <w:pPr>
              <w:spacing w:line="480" w:lineRule="auto"/>
              <w:rPr>
                <w:rFonts w:asciiTheme="minorEastAsia" w:hAnsiTheme="minorEastAsia"/>
              </w:rPr>
            </w:pPr>
          </w:p>
        </w:tc>
        <w:tc>
          <w:tcPr>
            <w:tcW w:w="2130" w:type="dxa"/>
          </w:tcPr>
          <w:p w14:paraId="5925A8A9">
            <w:pPr>
              <w:spacing w:line="480" w:lineRule="auto"/>
              <w:rPr>
                <w:rFonts w:asciiTheme="minorEastAsia" w:hAnsiTheme="minorEastAsia"/>
              </w:rPr>
            </w:pPr>
          </w:p>
        </w:tc>
      </w:tr>
      <w:tr w14:paraId="70B7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499969AC">
            <w:pPr>
              <w:spacing w:line="480" w:lineRule="auto"/>
              <w:jc w:val="center"/>
              <w:rPr>
                <w:rFonts w:asciiTheme="minorEastAsia" w:hAnsiTheme="minorEastAsia"/>
              </w:rPr>
            </w:pPr>
          </w:p>
        </w:tc>
        <w:tc>
          <w:tcPr>
            <w:tcW w:w="2130" w:type="dxa"/>
          </w:tcPr>
          <w:p w14:paraId="1D77BC2F">
            <w:pPr>
              <w:spacing w:line="480" w:lineRule="auto"/>
              <w:jc w:val="center"/>
              <w:rPr>
                <w:rFonts w:asciiTheme="minorEastAsia" w:hAnsiTheme="minorEastAsia"/>
              </w:rPr>
            </w:pPr>
          </w:p>
        </w:tc>
        <w:tc>
          <w:tcPr>
            <w:tcW w:w="2130" w:type="dxa"/>
          </w:tcPr>
          <w:p w14:paraId="157B229B">
            <w:pPr>
              <w:spacing w:line="480" w:lineRule="auto"/>
              <w:rPr>
                <w:rFonts w:asciiTheme="minorEastAsia" w:hAnsiTheme="minorEastAsia"/>
              </w:rPr>
            </w:pPr>
          </w:p>
        </w:tc>
        <w:tc>
          <w:tcPr>
            <w:tcW w:w="2130" w:type="dxa"/>
          </w:tcPr>
          <w:p w14:paraId="2FEB4B62">
            <w:pPr>
              <w:spacing w:line="480" w:lineRule="auto"/>
              <w:rPr>
                <w:rFonts w:asciiTheme="minorEastAsia" w:hAnsiTheme="minorEastAsia"/>
              </w:rPr>
            </w:pPr>
          </w:p>
        </w:tc>
      </w:tr>
      <w:tr w14:paraId="12BD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52BA2971">
            <w:pPr>
              <w:spacing w:line="480" w:lineRule="auto"/>
              <w:jc w:val="center"/>
              <w:rPr>
                <w:rFonts w:asciiTheme="minorEastAsia" w:hAnsiTheme="minorEastAsia"/>
              </w:rPr>
            </w:pPr>
          </w:p>
        </w:tc>
        <w:tc>
          <w:tcPr>
            <w:tcW w:w="2130" w:type="dxa"/>
          </w:tcPr>
          <w:p w14:paraId="4AD4B455">
            <w:pPr>
              <w:spacing w:line="480" w:lineRule="auto"/>
              <w:jc w:val="center"/>
              <w:rPr>
                <w:rFonts w:asciiTheme="minorEastAsia" w:hAnsiTheme="minorEastAsia"/>
              </w:rPr>
            </w:pPr>
          </w:p>
        </w:tc>
        <w:tc>
          <w:tcPr>
            <w:tcW w:w="2130" w:type="dxa"/>
          </w:tcPr>
          <w:p w14:paraId="5D170A60">
            <w:pPr>
              <w:spacing w:line="480" w:lineRule="auto"/>
              <w:rPr>
                <w:rFonts w:asciiTheme="minorEastAsia" w:hAnsiTheme="minorEastAsia"/>
              </w:rPr>
            </w:pPr>
          </w:p>
        </w:tc>
        <w:tc>
          <w:tcPr>
            <w:tcW w:w="2130" w:type="dxa"/>
          </w:tcPr>
          <w:p w14:paraId="57F5FB7C">
            <w:pPr>
              <w:spacing w:line="480" w:lineRule="auto"/>
              <w:rPr>
                <w:rFonts w:asciiTheme="minorEastAsia" w:hAnsiTheme="minorEastAsia"/>
              </w:rPr>
            </w:pPr>
          </w:p>
        </w:tc>
      </w:tr>
      <w:tr w14:paraId="2FFD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12755B93">
            <w:pPr>
              <w:spacing w:line="480" w:lineRule="auto"/>
              <w:jc w:val="center"/>
              <w:rPr>
                <w:rFonts w:asciiTheme="minorEastAsia" w:hAnsiTheme="minorEastAsia"/>
              </w:rPr>
            </w:pPr>
          </w:p>
        </w:tc>
        <w:tc>
          <w:tcPr>
            <w:tcW w:w="2130" w:type="dxa"/>
          </w:tcPr>
          <w:p w14:paraId="3B46DB0A">
            <w:pPr>
              <w:spacing w:line="480" w:lineRule="auto"/>
              <w:jc w:val="center"/>
              <w:rPr>
                <w:rFonts w:asciiTheme="minorEastAsia" w:hAnsiTheme="minorEastAsia"/>
              </w:rPr>
            </w:pPr>
          </w:p>
        </w:tc>
        <w:tc>
          <w:tcPr>
            <w:tcW w:w="2130" w:type="dxa"/>
          </w:tcPr>
          <w:p w14:paraId="284DD0CC">
            <w:pPr>
              <w:spacing w:line="480" w:lineRule="auto"/>
              <w:rPr>
                <w:rFonts w:asciiTheme="minorEastAsia" w:hAnsiTheme="minorEastAsia"/>
              </w:rPr>
            </w:pPr>
          </w:p>
        </w:tc>
        <w:tc>
          <w:tcPr>
            <w:tcW w:w="2130" w:type="dxa"/>
          </w:tcPr>
          <w:p w14:paraId="4C4FE47F">
            <w:pPr>
              <w:spacing w:line="480" w:lineRule="auto"/>
              <w:rPr>
                <w:rFonts w:asciiTheme="minorEastAsia" w:hAnsiTheme="minorEastAsia"/>
              </w:rPr>
            </w:pPr>
          </w:p>
        </w:tc>
      </w:tr>
      <w:tr w14:paraId="2938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32D94DE4">
            <w:pPr>
              <w:spacing w:line="480" w:lineRule="auto"/>
              <w:jc w:val="center"/>
              <w:rPr>
                <w:rFonts w:asciiTheme="minorEastAsia" w:hAnsiTheme="minorEastAsia"/>
              </w:rPr>
            </w:pPr>
          </w:p>
        </w:tc>
        <w:tc>
          <w:tcPr>
            <w:tcW w:w="2130" w:type="dxa"/>
          </w:tcPr>
          <w:p w14:paraId="558DEFE1">
            <w:pPr>
              <w:spacing w:line="480" w:lineRule="auto"/>
              <w:jc w:val="center"/>
              <w:rPr>
                <w:rFonts w:asciiTheme="minorEastAsia" w:hAnsiTheme="minorEastAsia"/>
              </w:rPr>
            </w:pPr>
          </w:p>
        </w:tc>
        <w:tc>
          <w:tcPr>
            <w:tcW w:w="2130" w:type="dxa"/>
          </w:tcPr>
          <w:p w14:paraId="41387297">
            <w:pPr>
              <w:spacing w:line="480" w:lineRule="auto"/>
              <w:rPr>
                <w:rFonts w:asciiTheme="minorEastAsia" w:hAnsiTheme="minorEastAsia"/>
              </w:rPr>
            </w:pPr>
          </w:p>
        </w:tc>
        <w:tc>
          <w:tcPr>
            <w:tcW w:w="2130" w:type="dxa"/>
          </w:tcPr>
          <w:p w14:paraId="2D90DB41">
            <w:pPr>
              <w:spacing w:line="480" w:lineRule="auto"/>
              <w:rPr>
                <w:rFonts w:asciiTheme="minorEastAsia" w:hAnsiTheme="minorEastAsia"/>
              </w:rPr>
            </w:pPr>
          </w:p>
        </w:tc>
      </w:tr>
      <w:tr w14:paraId="6D0D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69956868">
            <w:pPr>
              <w:spacing w:line="480" w:lineRule="auto"/>
              <w:jc w:val="center"/>
              <w:rPr>
                <w:rFonts w:asciiTheme="minorEastAsia" w:hAnsiTheme="minorEastAsia"/>
              </w:rPr>
            </w:pPr>
          </w:p>
        </w:tc>
        <w:tc>
          <w:tcPr>
            <w:tcW w:w="2130" w:type="dxa"/>
          </w:tcPr>
          <w:p w14:paraId="23D34988">
            <w:pPr>
              <w:spacing w:line="480" w:lineRule="auto"/>
              <w:jc w:val="center"/>
              <w:rPr>
                <w:rFonts w:asciiTheme="minorEastAsia" w:hAnsiTheme="minorEastAsia"/>
              </w:rPr>
            </w:pPr>
          </w:p>
        </w:tc>
        <w:tc>
          <w:tcPr>
            <w:tcW w:w="2130" w:type="dxa"/>
          </w:tcPr>
          <w:p w14:paraId="7BB8A185">
            <w:pPr>
              <w:spacing w:line="480" w:lineRule="auto"/>
              <w:rPr>
                <w:rFonts w:asciiTheme="minorEastAsia" w:hAnsiTheme="minorEastAsia"/>
              </w:rPr>
            </w:pPr>
          </w:p>
        </w:tc>
        <w:tc>
          <w:tcPr>
            <w:tcW w:w="2130" w:type="dxa"/>
          </w:tcPr>
          <w:p w14:paraId="75197794">
            <w:pPr>
              <w:spacing w:line="480" w:lineRule="auto"/>
              <w:rPr>
                <w:rFonts w:asciiTheme="minorEastAsia" w:hAnsiTheme="minorEastAsia"/>
              </w:rPr>
            </w:pPr>
          </w:p>
        </w:tc>
      </w:tr>
      <w:tr w14:paraId="0CBD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36AEC1C6">
            <w:pPr>
              <w:spacing w:line="480" w:lineRule="auto"/>
              <w:jc w:val="center"/>
              <w:rPr>
                <w:rFonts w:asciiTheme="minorEastAsia" w:hAnsiTheme="minorEastAsia"/>
              </w:rPr>
            </w:pPr>
          </w:p>
        </w:tc>
        <w:tc>
          <w:tcPr>
            <w:tcW w:w="2130" w:type="dxa"/>
          </w:tcPr>
          <w:p w14:paraId="694C8DC9">
            <w:pPr>
              <w:spacing w:line="480" w:lineRule="auto"/>
              <w:jc w:val="center"/>
              <w:rPr>
                <w:rFonts w:asciiTheme="minorEastAsia" w:hAnsiTheme="minorEastAsia"/>
              </w:rPr>
            </w:pPr>
          </w:p>
        </w:tc>
        <w:tc>
          <w:tcPr>
            <w:tcW w:w="2130" w:type="dxa"/>
          </w:tcPr>
          <w:p w14:paraId="38E85573">
            <w:pPr>
              <w:spacing w:line="480" w:lineRule="auto"/>
              <w:rPr>
                <w:rFonts w:asciiTheme="minorEastAsia" w:hAnsiTheme="minorEastAsia"/>
              </w:rPr>
            </w:pPr>
          </w:p>
        </w:tc>
        <w:tc>
          <w:tcPr>
            <w:tcW w:w="2130" w:type="dxa"/>
          </w:tcPr>
          <w:p w14:paraId="4422F92A">
            <w:pPr>
              <w:spacing w:line="480" w:lineRule="auto"/>
              <w:rPr>
                <w:rFonts w:asciiTheme="minorEastAsia" w:hAnsiTheme="minorEastAsia"/>
              </w:rPr>
            </w:pPr>
          </w:p>
        </w:tc>
      </w:tr>
      <w:tr w14:paraId="1C75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6096E536">
            <w:pPr>
              <w:spacing w:line="480" w:lineRule="auto"/>
              <w:jc w:val="center"/>
              <w:rPr>
                <w:rFonts w:asciiTheme="minorEastAsia" w:hAnsiTheme="minorEastAsia"/>
              </w:rPr>
            </w:pPr>
          </w:p>
        </w:tc>
        <w:tc>
          <w:tcPr>
            <w:tcW w:w="2130" w:type="dxa"/>
          </w:tcPr>
          <w:p w14:paraId="17E42395">
            <w:pPr>
              <w:spacing w:line="480" w:lineRule="auto"/>
              <w:jc w:val="center"/>
              <w:rPr>
                <w:rFonts w:asciiTheme="minorEastAsia" w:hAnsiTheme="minorEastAsia"/>
              </w:rPr>
            </w:pPr>
          </w:p>
        </w:tc>
        <w:tc>
          <w:tcPr>
            <w:tcW w:w="2130" w:type="dxa"/>
          </w:tcPr>
          <w:p w14:paraId="2635D23D">
            <w:pPr>
              <w:spacing w:line="480" w:lineRule="auto"/>
              <w:rPr>
                <w:rFonts w:asciiTheme="minorEastAsia" w:hAnsiTheme="minorEastAsia"/>
              </w:rPr>
            </w:pPr>
          </w:p>
        </w:tc>
        <w:tc>
          <w:tcPr>
            <w:tcW w:w="2130" w:type="dxa"/>
          </w:tcPr>
          <w:p w14:paraId="79CF3018">
            <w:pPr>
              <w:spacing w:line="480" w:lineRule="auto"/>
              <w:rPr>
                <w:rFonts w:asciiTheme="minorEastAsia" w:hAnsiTheme="minorEastAsia"/>
              </w:rPr>
            </w:pPr>
          </w:p>
        </w:tc>
      </w:tr>
      <w:tr w14:paraId="0B56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4FFE21D4">
            <w:pPr>
              <w:spacing w:line="480" w:lineRule="auto"/>
              <w:jc w:val="center"/>
              <w:rPr>
                <w:rFonts w:asciiTheme="minorEastAsia" w:hAnsiTheme="minorEastAsia"/>
              </w:rPr>
            </w:pPr>
          </w:p>
        </w:tc>
        <w:tc>
          <w:tcPr>
            <w:tcW w:w="2130" w:type="dxa"/>
          </w:tcPr>
          <w:p w14:paraId="636492C9">
            <w:pPr>
              <w:spacing w:line="480" w:lineRule="auto"/>
              <w:jc w:val="center"/>
              <w:rPr>
                <w:rFonts w:asciiTheme="minorEastAsia" w:hAnsiTheme="minorEastAsia"/>
              </w:rPr>
            </w:pPr>
          </w:p>
        </w:tc>
        <w:tc>
          <w:tcPr>
            <w:tcW w:w="2130" w:type="dxa"/>
          </w:tcPr>
          <w:p w14:paraId="246021E2">
            <w:pPr>
              <w:spacing w:line="480" w:lineRule="auto"/>
              <w:rPr>
                <w:rFonts w:asciiTheme="minorEastAsia" w:hAnsiTheme="minorEastAsia"/>
              </w:rPr>
            </w:pPr>
          </w:p>
        </w:tc>
        <w:tc>
          <w:tcPr>
            <w:tcW w:w="2130" w:type="dxa"/>
          </w:tcPr>
          <w:p w14:paraId="17008E0E">
            <w:pPr>
              <w:spacing w:line="480" w:lineRule="auto"/>
              <w:rPr>
                <w:rFonts w:asciiTheme="minorEastAsia" w:hAnsiTheme="minorEastAsia"/>
              </w:rPr>
            </w:pPr>
          </w:p>
        </w:tc>
      </w:tr>
      <w:tr w14:paraId="040B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0F06DDD8">
            <w:pPr>
              <w:spacing w:line="480" w:lineRule="auto"/>
              <w:rPr>
                <w:rFonts w:asciiTheme="minorEastAsia" w:hAnsiTheme="minorEastAsia"/>
              </w:rPr>
            </w:pPr>
          </w:p>
        </w:tc>
        <w:tc>
          <w:tcPr>
            <w:tcW w:w="2130" w:type="dxa"/>
          </w:tcPr>
          <w:p w14:paraId="15797313">
            <w:pPr>
              <w:spacing w:line="480" w:lineRule="auto"/>
              <w:rPr>
                <w:rFonts w:asciiTheme="minorEastAsia" w:hAnsiTheme="minorEastAsia"/>
              </w:rPr>
            </w:pPr>
          </w:p>
        </w:tc>
        <w:tc>
          <w:tcPr>
            <w:tcW w:w="2130" w:type="dxa"/>
          </w:tcPr>
          <w:p w14:paraId="6F405DF1">
            <w:pPr>
              <w:spacing w:line="480" w:lineRule="auto"/>
              <w:rPr>
                <w:rFonts w:asciiTheme="minorEastAsia" w:hAnsiTheme="minorEastAsia"/>
              </w:rPr>
            </w:pPr>
          </w:p>
        </w:tc>
        <w:tc>
          <w:tcPr>
            <w:tcW w:w="2130" w:type="dxa"/>
          </w:tcPr>
          <w:p w14:paraId="1360CFAE">
            <w:pPr>
              <w:spacing w:line="480" w:lineRule="auto"/>
              <w:rPr>
                <w:rFonts w:asciiTheme="minorEastAsia" w:hAnsiTheme="minorEastAsia"/>
              </w:rPr>
            </w:pPr>
          </w:p>
        </w:tc>
      </w:tr>
      <w:tr w14:paraId="2D7A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9" w:type="dxa"/>
          </w:tcPr>
          <w:p w14:paraId="5990B0F4">
            <w:pPr>
              <w:spacing w:line="480" w:lineRule="auto"/>
              <w:rPr>
                <w:rFonts w:asciiTheme="minorEastAsia" w:hAnsiTheme="minorEastAsia"/>
              </w:rPr>
            </w:pPr>
          </w:p>
        </w:tc>
        <w:tc>
          <w:tcPr>
            <w:tcW w:w="2130" w:type="dxa"/>
          </w:tcPr>
          <w:p w14:paraId="1EE170D0">
            <w:pPr>
              <w:spacing w:line="480" w:lineRule="auto"/>
              <w:rPr>
                <w:rFonts w:asciiTheme="minorEastAsia" w:hAnsiTheme="minorEastAsia"/>
              </w:rPr>
            </w:pPr>
          </w:p>
        </w:tc>
        <w:tc>
          <w:tcPr>
            <w:tcW w:w="2130" w:type="dxa"/>
          </w:tcPr>
          <w:p w14:paraId="49B18BD1">
            <w:pPr>
              <w:spacing w:line="480" w:lineRule="auto"/>
              <w:rPr>
                <w:rFonts w:asciiTheme="minorEastAsia" w:hAnsiTheme="minorEastAsia"/>
              </w:rPr>
            </w:pPr>
          </w:p>
        </w:tc>
        <w:tc>
          <w:tcPr>
            <w:tcW w:w="2130" w:type="dxa"/>
          </w:tcPr>
          <w:p w14:paraId="3B4DA9DE">
            <w:pPr>
              <w:spacing w:line="480" w:lineRule="auto"/>
              <w:rPr>
                <w:rFonts w:asciiTheme="minorEastAsia" w:hAnsiTheme="minorEastAsia"/>
              </w:rPr>
            </w:pPr>
          </w:p>
        </w:tc>
      </w:tr>
    </w:tbl>
    <w:p w14:paraId="4DD15E13">
      <w:pPr>
        <w:pStyle w:val="25"/>
        <w:jc w:val="both"/>
        <w:rPr>
          <w:rFonts w:ascii="宋体" w:hAnsi="宋体" w:eastAsia="宋体" w:cs="宋体"/>
          <w:sz w:val="21"/>
          <w:szCs w:val="21"/>
        </w:rPr>
      </w:pPr>
      <w:r>
        <w:rPr>
          <w:rFonts w:hint="eastAsia" w:ascii="宋体" w:hAnsi="宋体" w:eastAsia="宋体" w:cs="宋体"/>
          <w:sz w:val="21"/>
          <w:szCs w:val="21"/>
        </w:rPr>
        <w:t>说明：</w:t>
      </w:r>
    </w:p>
    <w:p w14:paraId="7412EEFE">
      <w:pPr>
        <w:pStyle w:val="25"/>
        <w:jc w:val="both"/>
        <w:rPr>
          <w:rFonts w:ascii="宋体" w:hAnsi="宋体" w:eastAsia="宋体" w:cs="宋体"/>
          <w:sz w:val="21"/>
          <w:szCs w:val="21"/>
        </w:rPr>
      </w:pPr>
    </w:p>
    <w:p w14:paraId="15677C4A">
      <w:pPr>
        <w:pStyle w:val="25"/>
        <w:jc w:val="both"/>
        <w:rPr>
          <w:rFonts w:ascii="宋体" w:hAnsi="宋体" w:eastAsia="宋体" w:cs="宋体"/>
          <w:sz w:val="21"/>
          <w:szCs w:val="21"/>
        </w:rPr>
      </w:pPr>
      <w:r>
        <w:rPr>
          <w:rFonts w:hint="eastAsia" w:ascii="宋体" w:hAnsi="宋体" w:eastAsia="宋体" w:cs="宋体"/>
          <w:sz w:val="21"/>
          <w:szCs w:val="21"/>
        </w:rPr>
        <w:t xml:space="preserve">温度：           湿度：   </w:t>
      </w:r>
    </w:p>
    <w:p w14:paraId="3E17D9A8">
      <w:pPr>
        <w:pStyle w:val="25"/>
        <w:jc w:val="both"/>
        <w:rPr>
          <w:rFonts w:ascii="宋体" w:hAnsi="宋体" w:eastAsia="宋体" w:cs="宋体"/>
          <w:sz w:val="21"/>
          <w:szCs w:val="21"/>
        </w:rPr>
      </w:pPr>
    </w:p>
    <w:p w14:paraId="3405D368">
      <w:pPr>
        <w:pStyle w:val="25"/>
        <w:jc w:val="both"/>
        <w:rPr>
          <w:rFonts w:ascii="宋体" w:hAnsi="宋体" w:eastAsia="宋体" w:cs="宋体"/>
          <w:sz w:val="21"/>
          <w:szCs w:val="21"/>
        </w:rPr>
      </w:pPr>
      <w:r>
        <w:rPr>
          <w:rFonts w:hint="eastAsia" w:ascii="宋体" w:hAnsi="宋体" w:eastAsia="宋体" w:cs="宋体"/>
          <w:sz w:val="21"/>
          <w:szCs w:val="21"/>
        </w:rPr>
        <w:t>校准员：                                  核验员：</w:t>
      </w:r>
    </w:p>
    <w:p w14:paraId="5E8BFA4C">
      <w:pPr>
        <w:pStyle w:val="25"/>
        <w:jc w:val="both"/>
        <w:rPr>
          <w:rFonts w:ascii="宋体" w:hAnsi="宋体" w:eastAsia="宋体" w:cs="宋体"/>
          <w:sz w:val="21"/>
          <w:szCs w:val="21"/>
        </w:rPr>
      </w:pPr>
    </w:p>
    <w:p w14:paraId="3B0E1452">
      <w:pPr>
        <w:pStyle w:val="25"/>
        <w:jc w:val="both"/>
        <w:rPr>
          <w:rFonts w:ascii="宋体" w:hAnsi="宋体" w:eastAsia="宋体" w:cs="宋体"/>
          <w:sz w:val="21"/>
          <w:szCs w:val="21"/>
        </w:rPr>
      </w:pPr>
      <w:r>
        <w:rPr>
          <w:rFonts w:hint="eastAsia" w:ascii="宋体" w:hAnsi="宋体" w:eastAsia="宋体" w:cs="宋体"/>
          <w:sz w:val="21"/>
          <w:szCs w:val="21"/>
        </w:rPr>
        <w:t>校准日期：</w:t>
      </w:r>
    </w:p>
    <w:p w14:paraId="262E580B">
      <w:r>
        <w:rPr>
          <w:rFonts w:hint="eastAsia"/>
        </w:rPr>
        <w:br w:type="page"/>
      </w:r>
    </w:p>
    <w:p w14:paraId="5AF4780F">
      <w:pPr>
        <w:pStyle w:val="21"/>
      </w:pPr>
      <w:bookmarkStart w:id="43" w:name="_Toc10550"/>
      <w:bookmarkStart w:id="44" w:name="_Toc23197"/>
      <w:r>
        <w:rPr>
          <w:rFonts w:hint="eastAsia"/>
        </w:rPr>
        <w:t>附录C 校准结果不确定度评估实例</w:t>
      </w:r>
      <w:bookmarkEnd w:id="43"/>
      <w:bookmarkEnd w:id="44"/>
    </w:p>
    <w:p w14:paraId="6FAEBE06">
      <w:pPr>
        <w:jc w:val="center"/>
      </w:pPr>
      <w:r>
        <w:rPr>
          <w:rFonts w:hint="eastAsia"/>
        </w:rPr>
        <w:t>校准结果不确定度评估实例</w:t>
      </w:r>
    </w:p>
    <w:p w14:paraId="1DBCDF92">
      <w:pPr>
        <w:jc w:val="center"/>
      </w:pPr>
    </w:p>
    <w:p w14:paraId="71D9B363">
      <w:pPr>
        <w:ind w:firstLine="420"/>
      </w:pPr>
      <w:r>
        <w:rPr>
          <w:rFonts w:hint="eastAsia"/>
        </w:rPr>
        <w:t>使用发强度标准灯在一定距离产生均匀照度场的方法对被校准光通量计进行校准，对校准结果进行不确定度评估实例。</w:t>
      </w:r>
    </w:p>
    <w:p w14:paraId="47C3C484">
      <w:pPr>
        <w:ind w:firstLine="420"/>
      </w:pPr>
    </w:p>
    <w:p w14:paraId="3C56D6FE">
      <w:pPr>
        <w:rPr>
          <w:szCs w:val="22"/>
        </w:rPr>
      </w:pPr>
      <w:r>
        <w:rPr>
          <w:rFonts w:hint="eastAsia"/>
        </w:rPr>
        <w:t xml:space="preserve">C.1 </w:t>
      </w:r>
      <w:r>
        <w:rPr>
          <w:rFonts w:hint="eastAsia"/>
          <w:szCs w:val="22"/>
        </w:rPr>
        <w:t>校准方法</w:t>
      </w:r>
    </w:p>
    <w:p w14:paraId="6A829C59">
      <w:pPr>
        <w:ind w:firstLine="420"/>
        <w:rPr>
          <w:szCs w:val="22"/>
        </w:rPr>
      </w:pPr>
      <w:r>
        <w:rPr>
          <w:rFonts w:hint="eastAsia"/>
        </w:rPr>
        <w:t>发光强度标准灯</w:t>
      </w:r>
      <w:r>
        <w:rPr>
          <w:rFonts w:hint="eastAsia"/>
          <w:szCs w:val="22"/>
        </w:rPr>
        <w:t>在光学导轨上按照规定的方式点燃，在该光学导轨的工作光轴上还放置有被校准的光通量计的积分球，积分球开口中心法线和工作光轴</w:t>
      </w:r>
      <w:r>
        <w:rPr>
          <w:rFonts w:hint="eastAsia"/>
          <w:szCs w:val="22"/>
          <w:lang w:val="en-US" w:eastAsia="zh-CN"/>
        </w:rPr>
        <w:t>重合</w:t>
      </w:r>
      <w:r>
        <w:rPr>
          <w:rFonts w:hint="eastAsia"/>
          <w:szCs w:val="22"/>
        </w:rPr>
        <w:t>。积分球开口朝向发光强度标准灯工作面。两者相隔的距离大于发光强度标准灯工作面尺度15倍以上，大于积分球开口直径15倍以上。</w:t>
      </w:r>
    </w:p>
    <w:p w14:paraId="2FB4E683">
      <w:pPr>
        <w:ind w:firstLine="420"/>
        <w:rPr>
          <w:szCs w:val="22"/>
        </w:rPr>
      </w:pPr>
    </w:p>
    <w:p w14:paraId="49FC03CF">
      <w:r>
        <w:rPr>
          <w:rFonts w:hint="eastAsia"/>
        </w:rPr>
        <w:t>C.2 测量模型</w:t>
      </w:r>
    </w:p>
    <w:p w14:paraId="642AFC55">
      <w:pPr>
        <w:ind w:firstLine="420"/>
      </w:pPr>
      <w:r>
        <w:rPr>
          <w:rFonts w:hint="eastAsia"/>
        </w:rPr>
        <w:t>根据本校准规范，被校准光通量的光通量示值相对偏差是</w:t>
      </w:r>
    </w:p>
    <w:p w14:paraId="1A77EAD5">
      <w:pPr>
        <w:ind w:firstLine="420"/>
        <w:jc w:val="right"/>
        <w:rPr>
          <w:rFonts w:hint="eastAsia" w:hAnsi="Cambria Math" w:cs="宋体" w:eastAsiaTheme="minorEastAsia"/>
          <w:b w:val="0"/>
          <w:i w:val="0"/>
          <w:lang w:val="en-US" w:eastAsia="zh-CN"/>
        </w:rPr>
      </w:pPr>
      <m:oMath>
        <m:r>
          <m:rPr/>
          <w:rPr>
            <w:rFonts w:ascii="Cambria Math" w:hAnsi="Cambria Math" w:cs="宋体"/>
          </w:rPr>
          <m:t>η</m:t>
        </m:r>
        <m:r>
          <m:rPr>
            <m:sty m:val="p"/>
          </m:rPr>
          <w:rPr>
            <w:rFonts w:hint="eastAsia" w:ascii="Cambria Math" w:hAnsi="Cambria Math" w:cs="宋体"/>
          </w:rPr>
          <m:t>=</m:t>
        </m:r>
        <m:d>
          <m:dPr>
            <m:ctrlPr>
              <w:rPr>
                <w:rFonts w:hint="eastAsia" w:ascii="Cambria Math" w:hAnsi="Cambria Math" w:cs="宋体"/>
              </w:rPr>
            </m:ctrlPr>
          </m:dPr>
          <m:e>
            <m:f>
              <m:fPr>
                <m:ctrlPr>
                  <w:rPr>
                    <w:rFonts w:hint="eastAsia" w:ascii="Cambria Math" w:hAnsi="Cambria Math" w:cs="宋体"/>
                  </w:rPr>
                </m:ctrlPr>
              </m:fPr>
              <m:num>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ctrlPr>
                      <w:rPr>
                        <w:rFonts w:ascii="Cambria Math" w:hAnsi="Cambria Math" w:cs="宋体"/>
                      </w:rPr>
                    </m:ctrlPr>
                  </m:sub>
                </m:sSub>
                <m:ctrlPr>
                  <w:rPr>
                    <w:rFonts w:hint="eastAsia" w:ascii="Cambria Math" w:hAnsi="Cambria Math" w:cs="宋体"/>
                  </w:rPr>
                </m:ctrlPr>
              </m:num>
              <m:den>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s</m:t>
                    </m:r>
                    <m:ctrlPr>
                      <w:rPr>
                        <w:rFonts w:ascii="Cambria Math" w:hAnsi="Cambria Math" w:cs="宋体"/>
                      </w:rPr>
                    </m:ctrlPr>
                  </m:sub>
                </m:sSub>
                <m:ctrlPr>
                  <w:rPr>
                    <w:rFonts w:hint="eastAsia" w:ascii="Cambria Math" w:hAnsi="Cambria Math" w:cs="宋体"/>
                  </w:rPr>
                </m:ctrlPr>
              </m:den>
            </m:f>
            <m:r>
              <m:rPr>
                <m:sty m:val="p"/>
              </m:rPr>
              <w:rPr>
                <w:rFonts w:ascii="Cambria Math" w:hAnsi="Cambria Math" w:cs="宋体"/>
              </w:rPr>
              <m:t>−1</m:t>
            </m:r>
            <m:ctrlPr>
              <w:rPr>
                <w:rFonts w:hint="eastAsia" w:ascii="Cambria Math" w:hAnsi="Cambria Math" w:cs="宋体"/>
              </w:rPr>
            </m:ctrlPr>
          </m:e>
        </m:d>
        <m:r>
          <m:rPr>
            <m:sty m:val="p"/>
          </m:rPr>
          <w:rPr>
            <w:rFonts w:ascii="Cambria Math" w:hAnsi="Cambria Math" w:cs="Cambria Math"/>
          </w:rPr>
          <m:t>×</m:t>
        </m:r>
        <m:r>
          <m:rPr>
            <m:sty m:val="p"/>
          </m:rPr>
          <w:rPr>
            <w:rFonts w:ascii="Cambria Math" w:hAnsi="Cambria Math" w:cs="宋体"/>
          </w:rPr>
          <m:t>100%</m:t>
        </m:r>
        <m:r>
          <m:rPr>
            <m:sty m:val="p"/>
          </m:rPr>
          <w:rPr>
            <w:rFonts w:hint="eastAsia" w:ascii="Cambria Math" w:hAnsi="Cambria Math" w:cs="宋体"/>
          </w:rPr>
          <m:t>，</m:t>
        </m:r>
      </m:oMath>
      <w:r>
        <w:rPr>
          <w:rFonts w:hint="eastAsia" w:hAnsi="Cambria Math" w:cs="宋体"/>
          <w:b w:val="0"/>
          <w:i w:val="0"/>
          <w:lang w:val="en-US" w:eastAsia="zh-CN"/>
        </w:rPr>
        <w:t xml:space="preserve">               （C.1）</w:t>
      </w:r>
    </w:p>
    <w:p w14:paraId="601F2471">
      <w:pPr>
        <w:ind w:firstLine="420"/>
        <w:jc w:val="right"/>
        <w:rPr>
          <w:rFonts w:hint="default" w:ascii="宋体" w:hAnsi="宋体" w:cs="宋体" w:eastAsiaTheme="minorEastAsia"/>
          <w:lang w:val="en-US" w:eastAsia="zh-CN"/>
        </w:rPr>
      </w:pPr>
      <m:oMath>
        <m:r>
          <m:rPr>
            <m:sty m:val="p"/>
          </m:rPr>
          <w:rPr>
            <w:rFonts w:hint="eastAsia" w:ascii="Cambria Math" w:hAnsi="Cambria Math" w:cs="宋体"/>
          </w:rPr>
          <m:t>其中</m:t>
        </m:r>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ascii="Cambria Math" w:hAnsi="Cambria Math" w:cs="宋体"/>
              </w:rPr>
              <m:t>s</m:t>
            </m:r>
            <m:ctrlPr>
              <w:rPr>
                <w:rFonts w:ascii="Cambria Math" w:hAnsi="Cambria Math" w:cs="宋体"/>
              </w:rPr>
            </m:ctrlPr>
          </m:sub>
        </m:sSub>
        <m:r>
          <m:rPr/>
          <w:rPr>
            <w:rFonts w:hint="eastAsia" w:ascii="Cambria Math" w:hAnsi="Cambria Math" w:cs="宋体"/>
          </w:rPr>
          <m:t>=</m:t>
        </m:r>
        <m:f>
          <m:fPr>
            <m:ctrlPr>
              <w:rPr>
                <w:rFonts w:hint="eastAsia" w:ascii="Cambria Math" w:hAnsi="Cambria Math" w:cs="宋体"/>
              </w:rPr>
            </m:ctrlPr>
          </m:fPr>
          <m:num>
            <m:sSub>
              <m:sSubPr>
                <m:ctrlPr>
                  <w:rPr>
                    <w:rFonts w:ascii="Cambria Math" w:hAnsi="Cambria Math" w:cs="宋体"/>
                  </w:rPr>
                </m:ctrlPr>
              </m:sSubPr>
              <m:e>
                <m:r>
                  <m:rPr/>
                  <w:rPr>
                    <w:rFonts w:ascii="Cambria Math" w:hAnsi="Cambria Math" w:cs="宋体"/>
                  </w:rPr>
                  <m:t>I</m:t>
                </m:r>
                <m:ctrlPr>
                  <w:rPr>
                    <w:rFonts w:ascii="Cambria Math" w:hAnsi="Cambria Math" w:cs="宋体"/>
                  </w:rPr>
                </m:ctrlPr>
              </m:e>
              <m:sub>
                <m:r>
                  <m:rPr>
                    <m:sty m:val="p"/>
                  </m:rPr>
                  <w:rPr>
                    <w:rFonts w:ascii="Cambria Math" w:hAnsi="Cambria Math" w:cs="宋体"/>
                  </w:rPr>
                  <m:t>s</m:t>
                </m:r>
                <m:ctrlPr>
                  <w:rPr>
                    <w:rFonts w:ascii="Cambria Math" w:hAnsi="Cambria Math" w:cs="宋体"/>
                  </w:rPr>
                </m:ctrlPr>
              </m:sub>
            </m:sSub>
            <m:ctrlPr>
              <w:rPr>
                <w:rFonts w:hint="eastAsia" w:ascii="Cambria Math" w:hAnsi="Cambria Math" w:cs="宋体"/>
              </w:rPr>
            </m:ctrlPr>
          </m:num>
          <m:den>
            <m:sSup>
              <m:sSupPr>
                <m:ctrlPr>
                  <w:rPr>
                    <w:rFonts w:hint="eastAsia" w:ascii="Cambria Math" w:hAnsi="Cambria Math" w:cs="宋体"/>
                  </w:rPr>
                </m:ctrlPr>
              </m:sSupPr>
              <m:e>
                <m:r>
                  <m:rPr/>
                  <w:rPr>
                    <w:rFonts w:ascii="Cambria Math" w:hAnsi="Cambria Math" w:cs="宋体"/>
                  </w:rPr>
                  <m:t>d</m:t>
                </m:r>
                <m:ctrlPr>
                  <w:rPr>
                    <w:rFonts w:hint="eastAsia" w:ascii="Cambria Math" w:hAnsi="Cambria Math" w:cs="宋体"/>
                  </w:rPr>
                </m:ctrlPr>
              </m:e>
              <m:sup>
                <m:r>
                  <m:rPr>
                    <m:sty m:val="p"/>
                  </m:rPr>
                  <w:rPr>
                    <w:rFonts w:ascii="Cambria Math" w:hAnsi="Cambria Math" w:cs="宋体"/>
                  </w:rPr>
                  <m:t>2</m:t>
                </m:r>
                <m:ctrlPr>
                  <w:rPr>
                    <w:rFonts w:hint="eastAsia" w:ascii="Cambria Math" w:hAnsi="Cambria Math" w:cs="宋体"/>
                  </w:rPr>
                </m:ctrlPr>
              </m:sup>
            </m:sSup>
            <m:ctrlPr>
              <w:rPr>
                <w:rFonts w:hint="eastAsia" w:ascii="Cambria Math" w:hAnsi="Cambria Math" w:cs="宋体"/>
              </w:rPr>
            </m:ctrlPr>
          </m:den>
        </m:f>
        <m:r>
          <m:rPr>
            <m:sty m:val="p"/>
          </m:rPr>
          <w:rPr>
            <w:rFonts w:ascii="Cambria Math" w:hAnsi="Cambria Math" w:cs="Cambria Math"/>
          </w:rPr>
          <m:t>×</m:t>
        </m:r>
        <m:r>
          <m:rPr/>
          <w:rPr>
            <w:rFonts w:ascii="Cambria Math" w:hAnsi="Cambria Math" w:cs="宋体"/>
          </w:rPr>
          <m:t>A</m:t>
        </m:r>
      </m:oMath>
      <w:r>
        <w:rPr>
          <w:rStyle w:val="16"/>
          <w:rFonts w:hint="eastAsia"/>
          <w:b w:val="0"/>
          <w:i w:val="0"/>
          <w:sz w:val="24"/>
          <w:szCs w:val="24"/>
          <w:lang w:val="en-US" w:eastAsia="zh-CN"/>
        </w:rPr>
        <w:t xml:space="preserve">                      (C.2)</w:t>
      </w:r>
    </w:p>
    <w:p w14:paraId="25C5DB8B">
      <w:pPr>
        <w:ind w:firstLine="420"/>
        <w:rPr>
          <w:rFonts w:ascii="宋体" w:hAnsi="宋体" w:cs="宋体"/>
        </w:rPr>
      </w:pPr>
    </w:p>
    <w:p w14:paraId="32842AD4">
      <w:pPr>
        <w:rPr>
          <w:szCs w:val="22"/>
        </w:rPr>
      </w:pPr>
      <w:r>
        <w:rPr>
          <w:rFonts w:hint="eastAsia"/>
          <w:szCs w:val="22"/>
        </w:rPr>
        <w:t>其中，</w:t>
      </w:r>
      <m:oMath>
        <m:sSub>
          <m:sSubPr>
            <m:ctrlPr>
              <w:rPr>
                <w:rFonts w:ascii="Cambria Math" w:hAnsi="Cambria Math" w:cs="宋体"/>
              </w:rPr>
            </m:ctrlPr>
          </m:sSubPr>
          <m:e>
            <m:r>
              <m:rPr/>
              <w:rPr>
                <w:rFonts w:ascii="Cambria Math" w:hAnsi="Cambria Math" w:cs="宋体"/>
              </w:rPr>
              <m:t>Φ</m:t>
            </m:r>
            <m:ctrlPr>
              <w:rPr>
                <w:rFonts w:ascii="Cambria Math" w:hAnsi="Cambria Math" w:cs="宋体"/>
              </w:rPr>
            </m:ctrlPr>
          </m:e>
          <m:sub>
            <m:r>
              <m:rPr>
                <m:sty m:val="p"/>
              </m:rPr>
              <w:rPr>
                <w:rFonts w:hint="eastAsia" w:ascii="Cambria Math" w:hAnsi="Cambria Math" w:cs="宋体"/>
              </w:rPr>
              <m:t>t</m:t>
            </m:r>
            <m:ctrlPr>
              <w:rPr>
                <w:rFonts w:ascii="Cambria Math" w:hAnsi="Cambria Math" w:cs="宋体"/>
              </w:rPr>
            </m:ctrlPr>
          </m:sub>
        </m:sSub>
      </m:oMath>
      <w:r>
        <w:rPr>
          <w:rFonts w:hint="eastAsia" w:hAnsi="Cambria Math" w:cs="宋体"/>
        </w:rPr>
        <w:t>是被测仪器的光通量读数；</w:t>
      </w:r>
    </w:p>
    <w:p w14:paraId="136BDDDC">
      <w:pPr>
        <w:ind w:firstLine="720" w:firstLineChars="300"/>
      </w:pPr>
      <m:oMath>
        <m:sSub>
          <m:sSubPr>
            <m:ctrlPr>
              <w:rPr>
                <w:rFonts w:ascii="Cambria Math" w:hAnsi="Cambria Math" w:cs="宋体"/>
              </w:rPr>
            </m:ctrlPr>
          </m:sSubPr>
          <m:e>
            <m:r>
              <m:rPr/>
              <w:rPr>
                <w:rFonts w:ascii="Cambria Math" w:hAnsi="Cambria Math" w:cs="宋体"/>
              </w:rPr>
              <m:t>I</m:t>
            </m:r>
            <m:ctrlPr>
              <w:rPr>
                <w:rFonts w:ascii="Cambria Math" w:hAnsi="Cambria Math" w:cs="宋体"/>
              </w:rPr>
            </m:ctrlPr>
          </m:e>
          <m:sub>
            <m:r>
              <m:rPr>
                <m:sty m:val="p"/>
              </m:rPr>
              <w:rPr>
                <w:rFonts w:ascii="Cambria Math" w:hAnsi="Cambria Math" w:cs="宋体"/>
              </w:rPr>
              <m:t>s</m:t>
            </m:r>
            <m:ctrlPr>
              <w:rPr>
                <w:rFonts w:ascii="Cambria Math" w:hAnsi="Cambria Math" w:cs="宋体"/>
              </w:rPr>
            </m:ctrlPr>
          </m:sub>
        </m:sSub>
      </m:oMath>
      <w:r>
        <w:rPr>
          <w:rFonts w:hint="eastAsia" w:hAnsi="Cambria Math" w:cs="宋体"/>
        </w:rPr>
        <w:t>是</w:t>
      </w:r>
      <w:r>
        <w:rPr>
          <w:rFonts w:hint="eastAsia"/>
        </w:rPr>
        <w:t>发光强度标准灯的发光强度值；</w:t>
      </w:r>
    </w:p>
    <w:p w14:paraId="2C2B0868">
      <w:pPr>
        <w:rPr>
          <w:szCs w:val="22"/>
        </w:rPr>
      </w:pPr>
      <w:r>
        <w:rPr>
          <w:rFonts w:hint="eastAsia"/>
        </w:rPr>
        <w:t xml:space="preserve">      </w:t>
      </w:r>
      <w:r>
        <w:rPr>
          <w:rFonts w:hint="eastAsia"/>
          <w:i/>
          <w:iCs/>
        </w:rPr>
        <w:t>d</w:t>
      </w:r>
      <w:r>
        <w:rPr>
          <w:rFonts w:hint="eastAsia"/>
        </w:rPr>
        <w:t>是</w:t>
      </w:r>
      <w:r>
        <w:rPr>
          <w:rFonts w:hint="eastAsia"/>
          <w:szCs w:val="22"/>
        </w:rPr>
        <w:t>发光强度标准灯与积分球开口的距离；</w:t>
      </w:r>
    </w:p>
    <w:p w14:paraId="09EE3C33">
      <w:pPr>
        <w:rPr>
          <w:szCs w:val="22"/>
        </w:rPr>
      </w:pPr>
      <w:r>
        <w:rPr>
          <w:rFonts w:hint="eastAsia"/>
          <w:szCs w:val="22"/>
        </w:rPr>
        <w:t xml:space="preserve">      A是积分球开口的面积；</w:t>
      </w:r>
    </w:p>
    <w:p w14:paraId="13882FC5">
      <w:pPr>
        <w:rPr>
          <w:szCs w:val="22"/>
        </w:rPr>
      </w:pPr>
    </w:p>
    <w:p w14:paraId="6A9D57BB">
      <w:pPr>
        <w:rPr>
          <w:szCs w:val="22"/>
        </w:rPr>
      </w:pPr>
      <w:r>
        <w:rPr>
          <w:rFonts w:hint="eastAsia"/>
        </w:rPr>
        <w:t xml:space="preserve">C.3 </w:t>
      </w:r>
      <w:r>
        <w:rPr>
          <w:rFonts w:hint="eastAsia" w:hAnsi="Cambria Math" w:cs="宋体"/>
        </w:rPr>
        <w:t>被测仪器的光通量读数</w:t>
      </w:r>
      <w:r>
        <w:rPr>
          <w:rFonts w:hint="eastAsia"/>
        </w:rPr>
        <w:t>的不确定度分量</w:t>
      </w:r>
      <w:r>
        <w:rPr>
          <w:rFonts w:hint="eastAsia"/>
          <w:szCs w:val="22"/>
        </w:rPr>
        <w:t>评定</w:t>
      </w:r>
    </w:p>
    <w:p w14:paraId="313B7F7F">
      <w:r>
        <w:rPr>
          <w:rFonts w:hint="eastAsia"/>
          <w:szCs w:val="22"/>
        </w:rPr>
        <w:t xml:space="preserve">C.3.1 </w:t>
      </w:r>
      <w:r>
        <w:rPr>
          <w:rFonts w:hint="eastAsia"/>
        </w:rPr>
        <w:t xml:space="preserve"> </w:t>
      </w:r>
      <w:r>
        <w:rPr>
          <w:rFonts w:hint="eastAsia" w:hAnsi="Cambria Math" w:cs="宋体"/>
        </w:rPr>
        <w:t>光通量读数</w:t>
      </w:r>
      <w:r>
        <w:rPr>
          <w:rFonts w:hint="eastAsia"/>
        </w:rPr>
        <w:t>重复性</w:t>
      </w:r>
    </w:p>
    <w:p w14:paraId="5296E774">
      <w:pPr>
        <w:ind w:firstLine="420"/>
      </w:pPr>
      <w:r>
        <w:rPr>
          <w:rFonts w:hint="eastAsia"/>
        </w:rPr>
        <w:t>光通量计重复测量10次，读数分别是0.0881、0.0880、0.0882、0.0881、0.0881、0.0882、0.0879、0.0884、0.0881和0.0881。平均值是0.0081。根据贝塞尔公式计算实验标准偏差，可得相对实验标准偏差。因重复性引入的相对不确定度分量为</w:t>
      </w:r>
    </w:p>
    <w:p w14:paraId="023A2F73">
      <w:pPr>
        <w:ind w:firstLine="420"/>
        <w:jc w:val="right"/>
        <w:rPr>
          <w:rFonts w:hint="eastAsia" w:eastAsiaTheme="minorEastAsia"/>
          <w:szCs w:val="22"/>
          <w:lang w:val="en-US" w:eastAsia="zh-CN"/>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 1</m:t>
            </m:r>
            <m:ctrlPr>
              <w:rPr>
                <w:rFonts w:ascii="Cambria Math" w:hAnsi="Cambria Math"/>
                <w:i/>
                <w:szCs w:val="22"/>
              </w:rPr>
            </m:ctrlPr>
          </m:sub>
        </m:sSub>
        <m:r>
          <m:rPr/>
          <w:rPr>
            <w:rFonts w:ascii="Cambria Math" w:hAnsi="Cambria Math"/>
            <w:szCs w:val="22"/>
          </w:rPr>
          <m:t>=</m:t>
        </m:r>
        <m:f>
          <m:fPr>
            <m:ctrlPr>
              <w:rPr>
                <w:rFonts w:ascii="Cambria Math" w:hAnsi="Cambria Math"/>
                <w:iCs/>
                <w:szCs w:val="22"/>
              </w:rPr>
            </m:ctrlPr>
          </m:fPr>
          <m:num>
            <m:r>
              <m:rPr>
                <m:sty m:val="p"/>
              </m:rPr>
              <w:rPr>
                <w:rFonts w:ascii="Cambria Math" w:hAnsi="Cambria Math"/>
                <w:szCs w:val="22"/>
              </w:rPr>
              <m:t>STDEV</m:t>
            </m:r>
            <m:ctrlPr>
              <w:rPr>
                <w:rFonts w:ascii="Cambria Math" w:hAnsi="Cambria Math"/>
                <w:iCs/>
                <w:szCs w:val="22"/>
              </w:rPr>
            </m:ctrlPr>
          </m:num>
          <m:den>
            <m:r>
              <m:rPr>
                <m:sty m:val="p"/>
              </m:rPr>
              <w:rPr>
                <w:rFonts w:ascii="Cambria Math" w:hAnsi="Cambria Math"/>
                <w:szCs w:val="22"/>
              </w:rPr>
              <m:t>AVERAGE</m:t>
            </m:r>
            <m:ctrlPr>
              <w:rPr>
                <w:rFonts w:ascii="Cambria Math" w:hAnsi="Cambria Math"/>
                <w:iCs/>
                <w:szCs w:val="22"/>
              </w:rPr>
            </m:ctrlPr>
          </m:den>
        </m:f>
        <m:r>
          <m:rPr/>
          <w:rPr>
            <w:rFonts w:ascii="Cambria Math" w:hAnsi="Cambria Math"/>
            <w:szCs w:val="22"/>
          </w:rPr>
          <m:t>=0.15%</m:t>
        </m:r>
      </m:oMath>
      <w:r>
        <w:rPr>
          <w:rFonts w:hint="eastAsia" w:hAnsi="Cambria Math"/>
          <w:i w:val="0"/>
          <w:szCs w:val="22"/>
          <w:lang w:val="en-US" w:eastAsia="zh-CN"/>
        </w:rPr>
        <w:t xml:space="preserve"> </w:t>
      </w:r>
      <w:r>
        <w:rPr>
          <w:rStyle w:val="16"/>
          <w:rFonts w:hint="eastAsia"/>
          <w:b w:val="0"/>
          <w:i w:val="0"/>
          <w:sz w:val="24"/>
          <w:szCs w:val="24"/>
          <w:lang w:val="en-US" w:eastAsia="zh-CN"/>
        </w:rPr>
        <w:t xml:space="preserve">                 (C.3)</w:t>
      </w:r>
    </w:p>
    <w:p w14:paraId="0D3B0E3F">
      <w:pPr>
        <w:ind w:firstLine="420"/>
      </w:pPr>
    </w:p>
    <w:p w14:paraId="2D9E3499">
      <w:r>
        <w:rPr>
          <w:rFonts w:hint="eastAsia"/>
        </w:rPr>
        <w:t>C.3.2  光度探头的光谱失配误差</w:t>
      </w:r>
    </w:p>
    <w:p w14:paraId="29549469">
      <w:pPr>
        <w:ind w:firstLine="420"/>
      </w:pPr>
      <w:r>
        <w:rPr>
          <w:rFonts w:hint="eastAsia"/>
        </w:rPr>
        <w:t>由于光通量计的光度探测器的光谱响应度与光谱光视效率函数存在差异，可能存在光谱失配的系统偏差。根据经验估计系统偏差不大于</w:t>
      </w:r>
      <w:r>
        <w:rPr>
          <w:rFonts w:hint="eastAsia" w:ascii="宋体" w:hAnsi="宋体" w:eastAsia="宋体" w:cs="宋体"/>
          <w:szCs w:val="22"/>
        </w:rPr>
        <w:t>±</w:t>
      </w:r>
      <w:r>
        <w:rPr>
          <w:rFonts w:hint="eastAsia"/>
        </w:rPr>
        <w:t>1%，考虑矩形分布，则因光谱失配引入的相对不确定度分量是</w:t>
      </w:r>
    </w:p>
    <w:p w14:paraId="2CCE4BA3">
      <w:pPr>
        <w:ind w:firstLine="420"/>
        <w:jc w:val="right"/>
        <w:rPr>
          <w:rFonts w:hint="eastAsia" w:hAnsi="Cambria Math" w:eastAsiaTheme="minorEastAsia"/>
          <w:szCs w:val="22"/>
          <w:lang w:val="en-US" w:eastAsia="zh-CN"/>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 2</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ascii="Cambria Math" w:hAnsi="Cambria Math"/>
                    <w:szCs w:val="22"/>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m:t>
        </m:r>
        <m:r>
          <m:rPr/>
          <w:rPr>
            <w:rFonts w:hint="eastAsia" w:ascii="Cambria Math" w:hAnsi="Cambria Math"/>
            <w:szCs w:val="22"/>
          </w:rPr>
          <m:t>.</m:t>
        </m:r>
        <m:r>
          <m:rPr/>
          <w:rPr>
            <w:rFonts w:ascii="Cambria Math" w:hAnsi="Cambria Math"/>
            <w:szCs w:val="22"/>
          </w:rPr>
          <m:t>58%</m:t>
        </m:r>
      </m:oMath>
      <w:r>
        <w:rPr>
          <w:rFonts w:hint="eastAsia" w:hAnsi="Cambria Math"/>
          <w:i w:val="0"/>
          <w:szCs w:val="22"/>
          <w:lang w:val="en-US" w:eastAsia="zh-CN"/>
        </w:rPr>
        <w:t xml:space="preserve"> </w:t>
      </w:r>
      <w:r>
        <w:rPr>
          <w:rStyle w:val="16"/>
          <w:rFonts w:hint="eastAsia"/>
          <w:b w:val="0"/>
          <w:i w:val="0"/>
          <w:sz w:val="24"/>
          <w:szCs w:val="24"/>
          <w:lang w:val="en-US" w:eastAsia="zh-CN"/>
        </w:rPr>
        <w:t xml:space="preserve">                     (C.4)</w:t>
      </w:r>
    </w:p>
    <w:p w14:paraId="013872FD">
      <w:pPr>
        <w:ind w:firstLine="420"/>
        <w:rPr>
          <w:rFonts w:hAnsi="Cambria Math"/>
          <w:szCs w:val="22"/>
        </w:rPr>
      </w:pPr>
    </w:p>
    <w:p w14:paraId="6DA009AB">
      <w:r>
        <w:rPr>
          <w:rFonts w:hint="eastAsia"/>
        </w:rPr>
        <w:t>C.3.3  非线性因素</w:t>
      </w:r>
    </w:p>
    <w:p w14:paraId="2F9FDEB2">
      <w:pPr>
        <w:ind w:firstLine="420"/>
      </w:pPr>
      <w:r>
        <w:rPr>
          <w:rFonts w:hint="eastAsia"/>
        </w:rPr>
        <w:t>光通量计的光度探测器和IV放大电路可能存在非线性影响，根据经验估计系统偏差不大于</w:t>
      </w:r>
      <w:r>
        <w:rPr>
          <w:rFonts w:hint="eastAsia" w:ascii="宋体" w:hAnsi="宋体" w:eastAsia="宋体" w:cs="宋体"/>
          <w:szCs w:val="22"/>
        </w:rPr>
        <w:t>±</w:t>
      </w:r>
      <w:r>
        <w:rPr>
          <w:rFonts w:hint="eastAsia"/>
        </w:rPr>
        <w:t>0.1%，考虑正态分布，则因非线性引入的不确定度分量是</w:t>
      </w:r>
    </w:p>
    <w:p w14:paraId="232F19C6">
      <w:pPr>
        <w:ind w:firstLine="420"/>
        <w:jc w:val="right"/>
        <w:rPr>
          <w:rFonts w:hint="eastAsia" w:hAnsi="Cambria Math" w:eastAsiaTheme="minorEastAsia"/>
          <w:szCs w:val="22"/>
          <w:lang w:val="en-US" w:eastAsia="zh-CN"/>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 3</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0</m:t>
            </m:r>
            <m:r>
              <m:rPr/>
              <w:rPr>
                <w:rFonts w:hint="eastAsia" w:ascii="Cambria Math" w:hAnsi="Cambria Math"/>
                <w:szCs w:val="22"/>
              </w:rPr>
              <m:t>.</m:t>
            </m:r>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r>
          <m:rPr/>
          <w:rPr>
            <w:rFonts w:ascii="Cambria Math" w:hAnsi="Cambria Math"/>
            <w:szCs w:val="22"/>
          </w:rPr>
          <m:t>=0</m:t>
        </m:r>
        <m:r>
          <m:rPr/>
          <w:rPr>
            <w:rFonts w:hint="eastAsia" w:ascii="Cambria Math" w:hAnsi="Cambria Math"/>
            <w:szCs w:val="22"/>
          </w:rPr>
          <m:t>.</m:t>
        </m:r>
        <m:r>
          <m:rPr/>
          <w:rPr>
            <w:rFonts w:ascii="Cambria Math" w:hAnsi="Cambria Math"/>
            <w:szCs w:val="22"/>
          </w:rPr>
          <m:t>05%</m:t>
        </m:r>
      </m:oMath>
      <w:r>
        <w:rPr>
          <w:rFonts w:hint="eastAsia" w:hAnsi="Cambria Math"/>
          <w:i w:val="0"/>
          <w:szCs w:val="22"/>
          <w:lang w:val="en-US" w:eastAsia="zh-CN"/>
        </w:rPr>
        <w:t xml:space="preserve"> </w:t>
      </w:r>
      <w:r>
        <w:rPr>
          <w:rStyle w:val="16"/>
          <w:rFonts w:hint="eastAsia"/>
          <w:b w:val="0"/>
          <w:i w:val="0"/>
          <w:sz w:val="24"/>
          <w:szCs w:val="24"/>
          <w:lang w:val="en-US" w:eastAsia="zh-CN"/>
        </w:rPr>
        <w:t xml:space="preserve">                    (C.5)</w:t>
      </w:r>
    </w:p>
    <w:p w14:paraId="60FC82DD">
      <w:pPr>
        <w:ind w:firstLine="420"/>
        <w:rPr>
          <w:rFonts w:hAnsi="Cambria Math"/>
          <w:szCs w:val="22"/>
        </w:rPr>
      </w:pPr>
    </w:p>
    <w:p w14:paraId="5235527E">
      <w:r>
        <w:rPr>
          <w:rFonts w:hint="eastAsia"/>
        </w:rPr>
        <w:t>C.3.4  积分球的空间响应不均匀性的影响</w:t>
      </w:r>
    </w:p>
    <w:p w14:paraId="62AA8F6D">
      <w:pPr>
        <w:ind w:firstLine="420"/>
      </w:pPr>
      <w:r>
        <w:rPr>
          <w:rFonts w:hint="eastAsia"/>
        </w:rPr>
        <w:t>考虑到入射的积分球开口的光束到达积分球内部的第一反射区域，和实际应用测量时的区域存在差异，考虑到差异对校准结果存在影响，根据经验该系统偏差不大于</w:t>
      </w:r>
      <w:r>
        <w:rPr>
          <w:rFonts w:hint="eastAsia" w:ascii="宋体" w:hAnsi="宋体" w:eastAsia="宋体" w:cs="宋体"/>
          <w:szCs w:val="22"/>
        </w:rPr>
        <w:t>±</w:t>
      </w:r>
      <w:r>
        <w:rPr>
          <w:rFonts w:hint="eastAsia"/>
        </w:rPr>
        <w:t>2%，考虑正态分布，则因空间响应不均匀性引入的不确定度分量是</w:t>
      </w:r>
    </w:p>
    <w:p w14:paraId="444D38C4">
      <w:pPr>
        <w:ind w:firstLine="420"/>
        <w:jc w:val="right"/>
        <w:rPr>
          <w:rFonts w:hint="eastAsia" w:eastAsiaTheme="minorEastAsia"/>
          <w:lang w:val="en-US" w:eastAsia="zh-CN"/>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 4</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2%</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r>
          <m:rPr/>
          <w:rPr>
            <w:rFonts w:ascii="Cambria Math" w:hAnsi="Cambria Math"/>
            <w:szCs w:val="22"/>
          </w:rPr>
          <m:t>=1%</m:t>
        </m:r>
      </m:oMath>
      <w:r>
        <w:rPr>
          <w:rFonts w:hint="eastAsia" w:hAnsi="Cambria Math"/>
          <w:i w:val="0"/>
          <w:szCs w:val="22"/>
          <w:lang w:val="en-US" w:eastAsia="zh-CN"/>
        </w:rPr>
        <w:t xml:space="preserve"> </w:t>
      </w:r>
      <w:r>
        <w:rPr>
          <w:rStyle w:val="16"/>
          <w:rFonts w:hint="eastAsia"/>
          <w:b w:val="0"/>
          <w:i w:val="0"/>
          <w:sz w:val="24"/>
          <w:szCs w:val="24"/>
          <w:lang w:val="en-US" w:eastAsia="zh-CN"/>
        </w:rPr>
        <w:t xml:space="preserve">                       (C.6)</w:t>
      </w:r>
    </w:p>
    <w:p w14:paraId="61878DD2"/>
    <w:p w14:paraId="28588A3B">
      <w:r>
        <w:rPr>
          <w:rFonts w:hint="eastAsia"/>
        </w:rPr>
        <w:t>C.4 发光强度标准灯的发光强度值的不确定度分量</w:t>
      </w:r>
      <w:r>
        <w:rPr>
          <w:rFonts w:hint="eastAsia"/>
          <w:szCs w:val="22"/>
        </w:rPr>
        <w:t>评定</w:t>
      </w:r>
    </w:p>
    <w:p w14:paraId="67BBC436">
      <w:pPr>
        <w:ind w:firstLine="420"/>
      </w:pPr>
      <w:r>
        <w:rPr>
          <w:rFonts w:hint="eastAsia"/>
        </w:rPr>
        <w:t>使用BDQ8标准器，根据其检定证书，按一级标准灯其不确定度是0.8%（</w:t>
      </w:r>
      <w:r>
        <w:rPr>
          <w:rFonts w:hint="eastAsia"/>
          <w:i/>
          <w:iCs/>
        </w:rPr>
        <w:t>k</w:t>
      </w:r>
      <w:r>
        <w:rPr>
          <w:rFonts w:hint="eastAsia"/>
        </w:rPr>
        <w:t>=2），因此，因标准灯引入的相对标准不确定度分量</w:t>
      </w:r>
      <w:r>
        <w:rPr>
          <w:rFonts w:hint="eastAsia"/>
          <w:i/>
          <w:iCs/>
        </w:rPr>
        <w:t>u</w:t>
      </w:r>
      <w:r>
        <w:rPr>
          <w:rFonts w:hint="eastAsia"/>
          <w:vertAlign w:val="subscript"/>
        </w:rPr>
        <w:t>rel, 5</w:t>
      </w:r>
      <w:r>
        <w:rPr>
          <w:rFonts w:hint="eastAsia"/>
        </w:rPr>
        <w:t>=0.4%。</w:t>
      </w:r>
    </w:p>
    <w:p w14:paraId="29633019"/>
    <w:p w14:paraId="5D38F8CF">
      <w:pPr>
        <w:rPr>
          <w:szCs w:val="22"/>
        </w:rPr>
      </w:pPr>
      <w:r>
        <w:rPr>
          <w:rFonts w:hint="eastAsia"/>
        </w:rPr>
        <w:t>C.5 距离的不确定度分量</w:t>
      </w:r>
      <w:r>
        <w:rPr>
          <w:rFonts w:hint="eastAsia"/>
          <w:szCs w:val="22"/>
        </w:rPr>
        <w:t>评定</w:t>
      </w:r>
    </w:p>
    <w:p w14:paraId="6DAE1335">
      <w:pPr>
        <w:ind w:firstLine="420"/>
        <w:rPr>
          <w:szCs w:val="22"/>
        </w:rPr>
      </w:pPr>
      <w:r>
        <w:rPr>
          <w:rFonts w:hint="eastAsia"/>
          <w:szCs w:val="22"/>
        </w:rPr>
        <w:t>校准时距离是2m，根据光学导轨性能要求，其距离偏差不超过</w:t>
      </w:r>
      <w:r>
        <w:rPr>
          <w:rFonts w:hint="eastAsia" w:ascii="宋体" w:hAnsi="宋体" w:eastAsia="宋体" w:cs="宋体"/>
          <w:szCs w:val="22"/>
        </w:rPr>
        <w:t>±</w:t>
      </w:r>
      <w:r>
        <w:rPr>
          <w:rFonts w:hint="eastAsia"/>
          <w:szCs w:val="22"/>
        </w:rPr>
        <w:t>0.2mm，即，其相对距离偏差不大于</w:t>
      </w:r>
      <w:r>
        <w:rPr>
          <w:rFonts w:hint="eastAsia" w:ascii="宋体" w:hAnsi="宋体" w:eastAsia="宋体" w:cs="宋体"/>
          <w:szCs w:val="22"/>
        </w:rPr>
        <w:t>±</w:t>
      </w:r>
      <w:r>
        <w:rPr>
          <w:rFonts w:hint="eastAsia"/>
          <w:szCs w:val="22"/>
        </w:rPr>
        <w:t>0.01%，按矩形分布估算其标准差，则因距离引入的相对标准不确定度分量为</w:t>
      </w:r>
    </w:p>
    <w:p w14:paraId="4A23DBAE">
      <w:pPr>
        <w:ind w:firstLine="420"/>
        <w:jc w:val="right"/>
        <w:rPr>
          <w:rFonts w:hint="eastAsia" w:eastAsiaTheme="minorEastAsia"/>
          <w:szCs w:val="22"/>
          <w:lang w:val="en-US" w:eastAsia="zh-CN"/>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 6</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0.01%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ascii="Cambria Math" w:hAnsi="Cambria Math"/>
                    <w:szCs w:val="22"/>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=0.006%</m:t>
        </m:r>
      </m:oMath>
      <w:r>
        <w:rPr>
          <w:rFonts w:hint="eastAsia" w:hAnsi="Cambria Math"/>
          <w:i w:val="0"/>
          <w:szCs w:val="22"/>
          <w:lang w:val="en-US" w:eastAsia="zh-CN"/>
        </w:rPr>
        <w:t xml:space="preserve"> </w:t>
      </w:r>
      <w:r>
        <w:rPr>
          <w:rStyle w:val="16"/>
          <w:rFonts w:hint="eastAsia"/>
          <w:b w:val="0"/>
          <w:i w:val="0"/>
          <w:sz w:val="24"/>
          <w:szCs w:val="24"/>
          <w:lang w:val="en-US" w:eastAsia="zh-CN"/>
        </w:rPr>
        <w:t xml:space="preserve">                    (C.7)</w:t>
      </w:r>
    </w:p>
    <w:p w14:paraId="5CAF6CC3">
      <w:pPr>
        <w:rPr>
          <w:szCs w:val="22"/>
        </w:rPr>
      </w:pPr>
    </w:p>
    <w:p w14:paraId="50EC6AC7">
      <w:r>
        <w:rPr>
          <w:rFonts w:hint="eastAsia"/>
        </w:rPr>
        <w:t>C.6 开口面积的不确定度分量</w:t>
      </w:r>
      <w:r>
        <w:rPr>
          <w:rFonts w:hint="eastAsia"/>
          <w:szCs w:val="22"/>
        </w:rPr>
        <w:t>评定</w:t>
      </w:r>
    </w:p>
    <w:p w14:paraId="18C92A63">
      <w:pPr>
        <w:ind w:firstLine="420"/>
        <w:rPr>
          <w:szCs w:val="22"/>
        </w:rPr>
      </w:pPr>
      <w:r>
        <w:rPr>
          <w:rFonts w:hint="eastAsia"/>
          <w:szCs w:val="22"/>
        </w:rPr>
        <w:t>开口半径10.00 mm，使用千分尺测量，其距离偏差不大于</w:t>
      </w:r>
      <w:r>
        <w:rPr>
          <w:rFonts w:hint="eastAsia" w:ascii="宋体" w:hAnsi="宋体" w:eastAsia="宋体" w:cs="宋体"/>
          <w:szCs w:val="22"/>
        </w:rPr>
        <w:t>±</w:t>
      </w:r>
      <w:r>
        <w:rPr>
          <w:rFonts w:hint="eastAsia"/>
          <w:szCs w:val="22"/>
        </w:rPr>
        <w:t>0.02 mm，忽略圆度的影响。此时，按矩形分布估计距离相对标准不确定度是0.23%，对面积的灵敏系数是2，因此，开口面积引入相对标准不确定度分量为</w:t>
      </w:r>
    </w:p>
    <w:p w14:paraId="786BE67D">
      <w:pPr>
        <w:ind w:firstLine="420"/>
        <w:jc w:val="right"/>
        <w:rPr>
          <w:rFonts w:hint="eastAsia" w:eastAsiaTheme="minorEastAsia"/>
          <w:szCs w:val="22"/>
          <w:lang w:val="en-US" w:eastAsia="zh-CN"/>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 7</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0</m:t>
            </m:r>
            <m:r>
              <m:rPr/>
              <w:rPr>
                <w:rFonts w:hint="eastAsia" w:ascii="Cambria Math" w:hAnsi="Cambria Math"/>
                <w:szCs w:val="22"/>
              </w:rPr>
              <m:t>.</m:t>
            </m:r>
            <m:r>
              <m:rPr/>
              <w:rPr>
                <w:rFonts w:ascii="Cambria Math" w:hAnsi="Cambria Math"/>
                <w:szCs w:val="22"/>
              </w:rPr>
              <m:t>02</m:t>
            </m:r>
            <m:ctrlPr>
              <w:rPr>
                <w:rFonts w:ascii="Cambria Math" w:hAnsi="Cambria Math"/>
                <w:i/>
                <w:szCs w:val="22"/>
              </w:rPr>
            </m:ctrlPr>
          </m:num>
          <m:den>
            <m:r>
              <m:rPr/>
              <w:rPr>
                <w:rFonts w:ascii="Cambria Math" w:hAnsi="Cambria Math"/>
                <w:szCs w:val="22"/>
              </w:rPr>
              <m:t>10</m:t>
            </m:r>
            <m:ctrlPr>
              <w:rPr>
                <w:rFonts w:ascii="Cambria Math" w:hAnsi="Cambria Math"/>
                <w:i/>
                <w:szCs w:val="22"/>
              </w:rPr>
            </m:ctrlPr>
          </m:den>
        </m:f>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ascii="Cambria Math" w:hAnsi="Cambria Math"/>
                    <w:szCs w:val="22"/>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×2=0.3%</m:t>
        </m:r>
      </m:oMath>
      <w:r>
        <w:rPr>
          <w:rFonts w:hint="eastAsia" w:hAnsi="Cambria Math"/>
          <w:i w:val="0"/>
          <w:szCs w:val="22"/>
          <w:lang w:val="en-US" w:eastAsia="zh-CN"/>
        </w:rPr>
        <w:t xml:space="preserve"> </w:t>
      </w:r>
      <w:r>
        <w:rPr>
          <w:rStyle w:val="16"/>
          <w:rFonts w:hint="eastAsia"/>
          <w:b w:val="0"/>
          <w:i w:val="0"/>
          <w:sz w:val="24"/>
          <w:szCs w:val="24"/>
          <w:lang w:val="en-US" w:eastAsia="zh-CN"/>
        </w:rPr>
        <w:t xml:space="preserve">                  (C.8)</w:t>
      </w:r>
    </w:p>
    <w:p w14:paraId="5E763109">
      <w:pPr>
        <w:rPr>
          <w:szCs w:val="22"/>
        </w:rPr>
      </w:pPr>
    </w:p>
    <w:p w14:paraId="77440833">
      <w:pPr>
        <w:rPr>
          <w:szCs w:val="22"/>
        </w:rPr>
      </w:pPr>
      <w:r>
        <w:rPr>
          <w:rFonts w:hint="eastAsia"/>
          <w:szCs w:val="22"/>
        </w:rPr>
        <w:t>C.7 标准不确定度分量评定结果</w:t>
      </w:r>
    </w:p>
    <w:tbl>
      <w:tblPr>
        <w:tblStyle w:val="13"/>
        <w:tblW w:w="7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2432"/>
        <w:gridCol w:w="1875"/>
      </w:tblGrid>
      <w:tr w14:paraId="34CB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07FB75E1">
            <w:pPr>
              <w:spacing w:line="360" w:lineRule="auto"/>
              <w:jc w:val="center"/>
              <w:rPr>
                <w:szCs w:val="22"/>
              </w:rPr>
            </w:pPr>
            <w:r>
              <w:rPr>
                <w:rFonts w:hint="eastAsia"/>
                <w:szCs w:val="22"/>
              </w:rPr>
              <w:t>影响因素</w:t>
            </w:r>
          </w:p>
        </w:tc>
        <w:tc>
          <w:tcPr>
            <w:tcW w:w="2432" w:type="dxa"/>
          </w:tcPr>
          <w:p w14:paraId="54E5FB33">
            <w:pPr>
              <w:spacing w:line="360" w:lineRule="auto"/>
              <w:jc w:val="center"/>
              <w:rPr>
                <w:szCs w:val="22"/>
              </w:rPr>
            </w:pPr>
            <w:r>
              <w:rPr>
                <w:rFonts w:hint="eastAsia"/>
                <w:szCs w:val="22"/>
              </w:rPr>
              <w:t>相对不确定度分量</w:t>
            </w:r>
          </w:p>
        </w:tc>
        <w:tc>
          <w:tcPr>
            <w:tcW w:w="1875" w:type="dxa"/>
          </w:tcPr>
          <w:p w14:paraId="15E2B1CA">
            <w:pPr>
              <w:spacing w:line="360" w:lineRule="auto"/>
              <w:jc w:val="center"/>
              <w:rPr>
                <w:szCs w:val="22"/>
              </w:rPr>
            </w:pPr>
            <w:r>
              <w:rPr>
                <w:rFonts w:hint="eastAsia"/>
                <w:szCs w:val="22"/>
              </w:rPr>
              <w:t>类型</w:t>
            </w:r>
          </w:p>
        </w:tc>
      </w:tr>
      <w:tr w14:paraId="7AFF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78297939">
            <w:pPr>
              <w:spacing w:line="360" w:lineRule="auto"/>
              <w:jc w:val="center"/>
              <w:rPr>
                <w:szCs w:val="22"/>
              </w:rPr>
            </w:pPr>
            <w:r>
              <w:rPr>
                <w:rFonts w:hint="eastAsia" w:hAnsi="Cambria Math" w:cs="宋体"/>
              </w:rPr>
              <w:t>读数</w:t>
            </w:r>
            <w:r>
              <w:rPr>
                <w:rFonts w:hint="eastAsia"/>
              </w:rPr>
              <w:t>重复性</w:t>
            </w:r>
          </w:p>
        </w:tc>
        <w:tc>
          <w:tcPr>
            <w:tcW w:w="2432" w:type="dxa"/>
          </w:tcPr>
          <w:p w14:paraId="6A1C8A66">
            <w:pPr>
              <w:spacing w:line="360" w:lineRule="auto"/>
              <w:jc w:val="center"/>
              <w:rPr>
                <w:szCs w:val="22"/>
              </w:rPr>
            </w:pPr>
            <w:r>
              <w:rPr>
                <w:rFonts w:hint="eastAsia"/>
                <w:szCs w:val="22"/>
              </w:rPr>
              <w:t>0.15%</w:t>
            </w:r>
          </w:p>
        </w:tc>
        <w:tc>
          <w:tcPr>
            <w:tcW w:w="1875" w:type="dxa"/>
          </w:tcPr>
          <w:p w14:paraId="63F64D49">
            <w:pPr>
              <w:spacing w:line="360" w:lineRule="auto"/>
              <w:jc w:val="center"/>
              <w:rPr>
                <w:szCs w:val="22"/>
              </w:rPr>
            </w:pPr>
            <w:r>
              <w:rPr>
                <w:rFonts w:hint="eastAsia"/>
                <w:szCs w:val="22"/>
              </w:rPr>
              <w:t>A</w:t>
            </w:r>
          </w:p>
        </w:tc>
      </w:tr>
      <w:tr w14:paraId="569B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41B7096E">
            <w:pPr>
              <w:spacing w:line="360" w:lineRule="auto"/>
              <w:jc w:val="center"/>
              <w:rPr>
                <w:szCs w:val="22"/>
              </w:rPr>
            </w:pPr>
            <w:r>
              <w:rPr>
                <w:rFonts w:hint="eastAsia"/>
              </w:rPr>
              <w:t>光谱失配误差</w:t>
            </w:r>
          </w:p>
        </w:tc>
        <w:tc>
          <w:tcPr>
            <w:tcW w:w="2432" w:type="dxa"/>
          </w:tcPr>
          <w:p w14:paraId="25F192DC">
            <w:pPr>
              <w:spacing w:line="360" w:lineRule="auto"/>
              <w:jc w:val="center"/>
              <w:rPr>
                <w:szCs w:val="22"/>
              </w:rPr>
            </w:pPr>
            <w:r>
              <w:rPr>
                <w:rFonts w:hint="eastAsia"/>
                <w:szCs w:val="22"/>
              </w:rPr>
              <w:t>0.58%</w:t>
            </w:r>
          </w:p>
        </w:tc>
        <w:tc>
          <w:tcPr>
            <w:tcW w:w="1875" w:type="dxa"/>
          </w:tcPr>
          <w:p w14:paraId="3F9BC9DA">
            <w:pPr>
              <w:spacing w:line="360" w:lineRule="auto"/>
              <w:jc w:val="center"/>
              <w:rPr>
                <w:szCs w:val="22"/>
              </w:rPr>
            </w:pPr>
            <w:r>
              <w:rPr>
                <w:rFonts w:hint="eastAsia"/>
                <w:szCs w:val="22"/>
              </w:rPr>
              <w:t>B</w:t>
            </w:r>
          </w:p>
        </w:tc>
      </w:tr>
      <w:tr w14:paraId="001B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2A33341D">
            <w:pPr>
              <w:spacing w:line="360" w:lineRule="auto"/>
              <w:jc w:val="center"/>
              <w:rPr>
                <w:szCs w:val="22"/>
              </w:rPr>
            </w:pPr>
            <w:r>
              <w:rPr>
                <w:rFonts w:hint="eastAsia"/>
              </w:rPr>
              <w:t>非线性</w:t>
            </w:r>
          </w:p>
        </w:tc>
        <w:tc>
          <w:tcPr>
            <w:tcW w:w="2432" w:type="dxa"/>
          </w:tcPr>
          <w:p w14:paraId="0962FDF4">
            <w:pPr>
              <w:spacing w:line="360" w:lineRule="auto"/>
              <w:jc w:val="center"/>
              <w:rPr>
                <w:szCs w:val="22"/>
              </w:rPr>
            </w:pPr>
            <w:r>
              <w:rPr>
                <w:rFonts w:hint="eastAsia"/>
                <w:szCs w:val="22"/>
              </w:rPr>
              <w:t>0.05%</w:t>
            </w:r>
          </w:p>
        </w:tc>
        <w:tc>
          <w:tcPr>
            <w:tcW w:w="1875" w:type="dxa"/>
          </w:tcPr>
          <w:p w14:paraId="35B51CB5">
            <w:pPr>
              <w:spacing w:line="360" w:lineRule="auto"/>
              <w:jc w:val="center"/>
              <w:rPr>
                <w:szCs w:val="22"/>
              </w:rPr>
            </w:pPr>
            <w:r>
              <w:rPr>
                <w:rFonts w:hint="eastAsia"/>
                <w:szCs w:val="22"/>
              </w:rPr>
              <w:t>B</w:t>
            </w:r>
          </w:p>
        </w:tc>
      </w:tr>
      <w:tr w14:paraId="7E49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2C898960">
            <w:pPr>
              <w:spacing w:line="360" w:lineRule="auto"/>
              <w:jc w:val="center"/>
              <w:rPr>
                <w:szCs w:val="22"/>
              </w:rPr>
            </w:pPr>
            <w:r>
              <w:rPr>
                <w:rFonts w:hint="eastAsia"/>
              </w:rPr>
              <w:t>空间响应不均匀性</w:t>
            </w:r>
          </w:p>
        </w:tc>
        <w:tc>
          <w:tcPr>
            <w:tcW w:w="2432" w:type="dxa"/>
          </w:tcPr>
          <w:p w14:paraId="3367F0C8">
            <w:pPr>
              <w:spacing w:line="360" w:lineRule="auto"/>
              <w:jc w:val="center"/>
              <w:rPr>
                <w:szCs w:val="22"/>
              </w:rPr>
            </w:pPr>
            <w:r>
              <w:rPr>
                <w:rFonts w:hint="eastAsia"/>
                <w:szCs w:val="22"/>
              </w:rPr>
              <w:t>1.0%</w:t>
            </w:r>
          </w:p>
        </w:tc>
        <w:tc>
          <w:tcPr>
            <w:tcW w:w="1875" w:type="dxa"/>
          </w:tcPr>
          <w:p w14:paraId="358D06C4">
            <w:pPr>
              <w:spacing w:line="360" w:lineRule="auto"/>
              <w:jc w:val="center"/>
              <w:rPr>
                <w:szCs w:val="22"/>
              </w:rPr>
            </w:pPr>
            <w:r>
              <w:rPr>
                <w:rFonts w:hint="eastAsia"/>
                <w:szCs w:val="22"/>
              </w:rPr>
              <w:t>B</w:t>
            </w:r>
          </w:p>
        </w:tc>
      </w:tr>
      <w:tr w14:paraId="6B60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61D1D95B">
            <w:pPr>
              <w:spacing w:line="360" w:lineRule="auto"/>
              <w:jc w:val="center"/>
              <w:rPr>
                <w:szCs w:val="22"/>
              </w:rPr>
            </w:pPr>
            <w:r>
              <w:rPr>
                <w:rFonts w:hint="eastAsia"/>
              </w:rPr>
              <w:t>标准灯</w:t>
            </w:r>
          </w:p>
        </w:tc>
        <w:tc>
          <w:tcPr>
            <w:tcW w:w="2432" w:type="dxa"/>
          </w:tcPr>
          <w:p w14:paraId="4A8C5BCA">
            <w:pPr>
              <w:spacing w:line="360" w:lineRule="auto"/>
              <w:jc w:val="center"/>
              <w:rPr>
                <w:szCs w:val="22"/>
              </w:rPr>
            </w:pPr>
            <w:r>
              <w:rPr>
                <w:rFonts w:hint="eastAsia"/>
                <w:szCs w:val="22"/>
              </w:rPr>
              <w:t>0.4%</w:t>
            </w:r>
          </w:p>
        </w:tc>
        <w:tc>
          <w:tcPr>
            <w:tcW w:w="1875" w:type="dxa"/>
          </w:tcPr>
          <w:p w14:paraId="05AA2529">
            <w:pPr>
              <w:spacing w:line="360" w:lineRule="auto"/>
              <w:jc w:val="center"/>
              <w:rPr>
                <w:szCs w:val="22"/>
              </w:rPr>
            </w:pPr>
            <w:r>
              <w:rPr>
                <w:rFonts w:hint="eastAsia"/>
                <w:szCs w:val="22"/>
              </w:rPr>
              <w:t>B</w:t>
            </w:r>
          </w:p>
        </w:tc>
      </w:tr>
      <w:tr w14:paraId="4142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66D1DFDB">
            <w:pPr>
              <w:spacing w:line="360" w:lineRule="auto"/>
              <w:jc w:val="center"/>
              <w:rPr>
                <w:szCs w:val="22"/>
              </w:rPr>
            </w:pPr>
            <w:r>
              <w:rPr>
                <w:rFonts w:hint="eastAsia"/>
              </w:rPr>
              <w:t>距离</w:t>
            </w:r>
          </w:p>
        </w:tc>
        <w:tc>
          <w:tcPr>
            <w:tcW w:w="2432" w:type="dxa"/>
          </w:tcPr>
          <w:p w14:paraId="1C85C22E">
            <w:pPr>
              <w:spacing w:line="360" w:lineRule="auto"/>
              <w:jc w:val="center"/>
              <w:rPr>
                <w:szCs w:val="22"/>
              </w:rPr>
            </w:pPr>
            <w:r>
              <w:rPr>
                <w:rFonts w:hint="eastAsia"/>
                <w:szCs w:val="22"/>
              </w:rPr>
              <w:t>0.006%</w:t>
            </w:r>
          </w:p>
        </w:tc>
        <w:tc>
          <w:tcPr>
            <w:tcW w:w="1875" w:type="dxa"/>
          </w:tcPr>
          <w:p w14:paraId="52772E95">
            <w:pPr>
              <w:spacing w:line="360" w:lineRule="auto"/>
              <w:jc w:val="center"/>
              <w:rPr>
                <w:szCs w:val="22"/>
              </w:rPr>
            </w:pPr>
            <w:r>
              <w:rPr>
                <w:rFonts w:hint="eastAsia"/>
                <w:szCs w:val="22"/>
              </w:rPr>
              <w:t>B</w:t>
            </w:r>
          </w:p>
        </w:tc>
      </w:tr>
      <w:tr w14:paraId="62F8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41CE091F">
            <w:pPr>
              <w:spacing w:line="360" w:lineRule="auto"/>
              <w:jc w:val="center"/>
            </w:pPr>
            <w:r>
              <w:rPr>
                <w:rFonts w:hint="eastAsia"/>
              </w:rPr>
              <w:t>开口面积</w:t>
            </w:r>
          </w:p>
        </w:tc>
        <w:tc>
          <w:tcPr>
            <w:tcW w:w="2432" w:type="dxa"/>
          </w:tcPr>
          <w:p w14:paraId="1840D364">
            <w:pPr>
              <w:spacing w:line="360" w:lineRule="auto"/>
              <w:jc w:val="center"/>
              <w:rPr>
                <w:szCs w:val="22"/>
              </w:rPr>
            </w:pPr>
            <w:r>
              <w:rPr>
                <w:rFonts w:hint="eastAsia"/>
                <w:szCs w:val="22"/>
              </w:rPr>
              <w:t>0.3%</w:t>
            </w:r>
          </w:p>
        </w:tc>
        <w:tc>
          <w:tcPr>
            <w:tcW w:w="1875" w:type="dxa"/>
          </w:tcPr>
          <w:p w14:paraId="09FA50BD">
            <w:pPr>
              <w:spacing w:line="360" w:lineRule="auto"/>
              <w:jc w:val="center"/>
              <w:rPr>
                <w:szCs w:val="22"/>
              </w:rPr>
            </w:pPr>
            <w:r>
              <w:rPr>
                <w:rFonts w:hint="eastAsia"/>
                <w:szCs w:val="22"/>
              </w:rPr>
              <w:t>B</w:t>
            </w:r>
          </w:p>
        </w:tc>
      </w:tr>
      <w:tr w14:paraId="5786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62E34978">
            <w:pPr>
              <w:spacing w:line="360" w:lineRule="auto"/>
              <w:jc w:val="center"/>
            </w:pPr>
            <w:r>
              <w:rPr>
                <w:rFonts w:hint="eastAsia"/>
              </w:rPr>
              <w:t>合成标准不确定度</w:t>
            </w:r>
          </w:p>
        </w:tc>
        <w:tc>
          <w:tcPr>
            <w:tcW w:w="2432" w:type="dxa"/>
          </w:tcPr>
          <w:p w14:paraId="44867D33">
            <w:pPr>
              <w:spacing w:line="360" w:lineRule="auto"/>
              <w:jc w:val="center"/>
              <w:rPr>
                <w:szCs w:val="22"/>
              </w:rPr>
            </w:pPr>
            <w:r>
              <w:rPr>
                <w:rFonts w:hint="eastAsia"/>
                <w:szCs w:val="22"/>
              </w:rPr>
              <w:t>1.27%</w:t>
            </w:r>
          </w:p>
        </w:tc>
        <w:tc>
          <w:tcPr>
            <w:tcW w:w="1875" w:type="dxa"/>
          </w:tcPr>
          <w:p w14:paraId="767DE9FC">
            <w:pPr>
              <w:spacing w:line="360" w:lineRule="auto"/>
              <w:jc w:val="center"/>
              <w:rPr>
                <w:szCs w:val="22"/>
              </w:rPr>
            </w:pPr>
            <w:r>
              <w:rPr>
                <w:rFonts w:hint="eastAsia"/>
                <w:szCs w:val="22"/>
              </w:rPr>
              <w:t>-</w:t>
            </w:r>
          </w:p>
        </w:tc>
      </w:tr>
    </w:tbl>
    <w:p w14:paraId="5B4215ED">
      <w:pPr>
        <w:rPr>
          <w:szCs w:val="22"/>
        </w:rPr>
      </w:pPr>
    </w:p>
    <w:p w14:paraId="11500768">
      <w:pPr>
        <w:rPr>
          <w:szCs w:val="22"/>
        </w:rPr>
      </w:pPr>
      <w:r>
        <w:rPr>
          <w:rFonts w:hint="eastAsia"/>
          <w:szCs w:val="22"/>
        </w:rPr>
        <w:t>C.8 校准不确定度表达</w:t>
      </w:r>
    </w:p>
    <w:p w14:paraId="4638E03F">
      <w:pPr>
        <w:ind w:firstLine="420"/>
      </w:pPr>
      <w:r>
        <w:rPr>
          <w:rFonts w:hint="eastAsia"/>
        </w:rPr>
        <w:t>取包含因子</w:t>
      </w:r>
      <w:r>
        <w:rPr>
          <w:rFonts w:hint="eastAsia"/>
          <w:i/>
          <w:iCs/>
        </w:rPr>
        <w:t>k</w:t>
      </w:r>
      <w:r>
        <w:rPr>
          <w:rFonts w:hint="eastAsia"/>
        </w:rPr>
        <w:t>=2，则扩展不确定度为</w:t>
      </w:r>
    </w:p>
    <w:p w14:paraId="0EFFA4F6">
      <w:pPr>
        <w:ind w:firstLine="420"/>
        <w:jc w:val="center"/>
      </w:pPr>
      <m:oMathPara>
        <m:oMath>
          <m:sSub>
            <m:sSubPr>
              <m:ctrlPr>
                <w:rPr>
                  <w:rFonts w:ascii="Cambria Math" w:hAnsi="Cambria Math"/>
                  <w:i/>
                </w:rPr>
              </m:ctrlPr>
            </m:sSubPr>
            <m:e>
              <m:r>
                <m:rPr/>
                <w:rPr>
                  <w:rFonts w:ascii="Cambria Math"/>
                </w:rPr>
                <m:t>U</m:t>
              </m:r>
              <m:ctrlPr>
                <w:rPr>
                  <w:rFonts w:ascii="Cambria Math" w:hAnsi="Cambria Math"/>
                  <w:i/>
                </w:rPr>
              </m:ctrlPr>
            </m:e>
            <m:sub>
              <m:r>
                <m:rPr>
                  <m:nor/>
                  <m:sty m:val="p"/>
                </m:rPr>
                <w:rPr>
                  <w:rFonts w:ascii="Cambria Math"/>
                  <w:b w:val="0"/>
                  <w:i w:val="0"/>
                </w:rPr>
                <m:t>rel</m:t>
              </m:r>
              <m:ctrlPr>
                <w:rPr>
                  <w:rFonts w:ascii="Cambria Math" w:hAnsi="Cambria Math"/>
                </w:rPr>
              </m:ctrlPr>
            </m:sub>
          </m:sSub>
          <m:r>
            <m:rPr/>
            <w:rPr>
              <w:rFonts w:ascii="Cambria Math"/>
            </w:rPr>
            <m:t>=1.27%×2=2.6%</m:t>
          </m:r>
        </m:oMath>
      </m:oMathPara>
    </w:p>
    <w:p w14:paraId="00681D34">
      <w:pPr>
        <w:ind w:firstLine="420"/>
      </w:pPr>
      <w:r>
        <w:rPr>
          <w:rFonts w:hint="eastAsia"/>
        </w:rPr>
        <w:t>本次光通量示值相对偏差校准结果的相对扩展不确定度评定值是</w:t>
      </w:r>
    </w:p>
    <w:p w14:paraId="35351155">
      <w:pPr>
        <w:ind w:firstLine="420"/>
        <w:jc w:val="center"/>
      </w:pPr>
      <m:oMathPara>
        <m:oMath>
          <m:sSub>
            <m:sSubPr>
              <m:ctrlPr>
                <w:rPr>
                  <w:rFonts w:ascii="Cambria Math" w:hAnsi="Cambria Math"/>
                  <w:i/>
                </w:rPr>
              </m:ctrlPr>
            </m:sSubPr>
            <m:e>
              <m:r>
                <m:rPr/>
                <w:rPr>
                  <w:rFonts w:ascii="Cambria Math"/>
                </w:rPr>
                <m:t>U</m:t>
              </m:r>
              <m:ctrlPr>
                <w:rPr>
                  <w:rFonts w:ascii="Cambria Math" w:hAnsi="Cambria Math"/>
                  <w:i/>
                </w:rPr>
              </m:ctrlPr>
            </m:e>
            <m:sub>
              <m:r>
                <m:rPr>
                  <m:nor/>
                  <m:sty m:val="p"/>
                </m:rPr>
                <w:rPr>
                  <w:rFonts w:ascii="Cambria Math"/>
                  <w:b w:val="0"/>
                  <w:i w:val="0"/>
                </w:rPr>
                <m:t>rel</m:t>
              </m:r>
              <m:ctrlPr>
                <w:rPr>
                  <w:rFonts w:ascii="Cambria Math" w:hAnsi="Cambria Math"/>
                </w:rPr>
              </m:ctrlPr>
            </m:sub>
          </m:sSub>
          <m:r>
            <m:rPr/>
            <w:rPr>
              <w:rFonts w:ascii="Cambria Math"/>
            </w:rPr>
            <m:t>=2</m:t>
          </m:r>
          <m:r>
            <m:rPr/>
            <w:rPr>
              <w:rFonts w:hint="eastAsia" w:ascii="Cambria Math"/>
            </w:rPr>
            <m:t>.</m:t>
          </m:r>
          <m:r>
            <m:rPr/>
            <w:rPr>
              <w:rFonts w:ascii="Cambria Math"/>
            </w:rPr>
            <m:t>6%</m:t>
          </m:r>
          <m:r>
            <m:rPr>
              <m:nor/>
              <m:sty m:val="p"/>
            </m:rPr>
            <w:rPr>
              <w:rFonts w:ascii="Cambria Math"/>
              <w:b w:val="0"/>
              <w:i w:val="0"/>
            </w:rPr>
            <m:t xml:space="preserve">   (</m:t>
          </m:r>
          <m:r>
            <m:rPr/>
            <w:rPr>
              <w:rFonts w:ascii="Cambria Math"/>
            </w:rPr>
            <m:t>k</m:t>
          </m:r>
          <m:r>
            <m:rPr>
              <m:nor/>
              <m:sty m:val="p"/>
            </m:rPr>
            <w:rPr>
              <w:rFonts w:ascii="Cambria Math"/>
              <w:b w:val="0"/>
              <w:i w:val="0"/>
            </w:rPr>
            <m:t>=2)</m:t>
          </m:r>
        </m:oMath>
      </m:oMathPara>
    </w:p>
    <w:p w14:paraId="4FE6C19F">
      <w:pPr>
        <w:rPr>
          <w:szCs w:val="22"/>
        </w:rPr>
      </w:pPr>
      <w:r>
        <w:rPr>
          <w:rFonts w:hint="eastAsia"/>
          <w:szCs w:val="22"/>
        </w:rPr>
        <w:t xml:space="preserve"> </w:t>
      </w:r>
    </w:p>
    <w:p w14:paraId="629ECD85">
      <w:pPr>
        <w:rPr>
          <w:b/>
          <w:bCs/>
          <w:sz w:val="21"/>
          <w:szCs w:val="21"/>
        </w:rPr>
      </w:pPr>
    </w:p>
    <w:sectPr>
      <w:footerReference r:id="rId2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ì.">
    <w:altName w:val="宋体"/>
    <w:panose1 w:val="00000000000000000000"/>
    <w:charset w:val="86"/>
    <w:family w:val="auto"/>
    <w:pitch w:val="default"/>
    <w:sig w:usb0="00000000" w:usb1="00000000" w:usb2="0000001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4071740"/>
    </w:sdtPr>
    <w:sdtContent>
      <w:p w14:paraId="0F89F236">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14:paraId="3A1DAF40">
    <w:pPr>
      <w:pStyle w:val="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0729316"/>
    </w:sdtPr>
    <w:sdtContent>
      <w:p w14:paraId="3A98E793">
        <w:pPr>
          <w:pStyle w:val="7"/>
          <w:jc w:val="right"/>
        </w:pPr>
        <w:r>
          <w:fldChar w:fldCharType="begin"/>
        </w:r>
        <w:r>
          <w:instrText xml:space="preserve">PAGE   \* MERGEFORMAT</w:instrText>
        </w:r>
        <w:r>
          <w:fldChar w:fldCharType="separate"/>
        </w:r>
        <w:r>
          <w:rPr>
            <w:lang w:val="zh-CN"/>
          </w:rPr>
          <w:t>1</w:t>
        </w:r>
        <w:r>
          <w:fldChar w:fldCharType="end"/>
        </w:r>
      </w:p>
    </w:sdtContent>
  </w:sdt>
  <w:p w14:paraId="16F8CA39">
    <w:pPr>
      <w:pStyle w:val="7"/>
    </w:pPr>
  </w:p>
  <w:p w14:paraId="61729B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5B450">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BC05F">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093A3">
    <w:pPr>
      <w:pStyle w:val="7"/>
      <w:jc w:val="right"/>
    </w:pPr>
  </w:p>
  <w:p w14:paraId="038C9661">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C3187">
    <w:pPr>
      <w:pStyle w:val="7"/>
    </w:pPr>
  </w:p>
  <w:p w14:paraId="73B4C98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A850B">
    <w:pPr>
      <w:pStyle w:val="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9801139"/>
    </w:sdtPr>
    <w:sdtContent>
      <w:p w14:paraId="2B03ECB1">
        <w:pPr>
          <w:pStyle w:val="7"/>
          <w:jc w:val="right"/>
        </w:pPr>
        <w:r>
          <w:fldChar w:fldCharType="begin"/>
        </w:r>
        <w:r>
          <w:instrText xml:space="preserve">PAGE   \* MERGEFORMAT</w:instrText>
        </w:r>
        <w:r>
          <w:fldChar w:fldCharType="separate"/>
        </w:r>
        <w:r>
          <w:rPr>
            <w:lang w:val="zh-CN"/>
          </w:rPr>
          <w:t>8</w:t>
        </w:r>
        <w:r>
          <w:fldChar w:fldCharType="end"/>
        </w:r>
      </w:p>
    </w:sdtContent>
  </w:sdt>
  <w:p w14:paraId="509C0536">
    <w:pPr>
      <w:pStyle w:val="7"/>
    </w:pPr>
  </w:p>
  <w:p w14:paraId="0C80CA5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8471644"/>
    </w:sdtPr>
    <w:sdtContent>
      <w:p w14:paraId="5CC878F6">
        <w:pPr>
          <w:pStyle w:val="7"/>
          <w:jc w:val="right"/>
        </w:pPr>
        <w:r>
          <w:fldChar w:fldCharType="begin"/>
        </w:r>
        <w:r>
          <w:instrText xml:space="preserve">PAGE   \* MERGEFORMAT</w:instrText>
        </w:r>
        <w:r>
          <w:fldChar w:fldCharType="separate"/>
        </w:r>
        <w:r>
          <w:rPr>
            <w:lang w:val="zh-CN"/>
          </w:rPr>
          <w:t>I</w:t>
        </w:r>
        <w:r>
          <w:fldChar w:fldCharType="end"/>
        </w:r>
      </w:p>
    </w:sdtContent>
  </w:sdt>
  <w:p w14:paraId="11D55880">
    <w:pPr>
      <w:pStyle w:val="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028EE">
    <w:pPr>
      <w:pStyle w:val="7"/>
      <w:jc w:val="righ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76296401"/>
                          </w:sdtPr>
                          <w:sdtContent>
                            <w:p w14:paraId="4A889207">
                              <w:pPr>
                                <w:pStyle w:val="7"/>
                                <w:jc w:val="right"/>
                              </w:pPr>
                              <w:r>
                                <w:fldChar w:fldCharType="begin"/>
                              </w:r>
                              <w:r>
                                <w:instrText xml:space="preserve">PAGE   \* MERGEFORMAT</w:instrText>
                              </w:r>
                              <w:r>
                                <w:fldChar w:fldCharType="separate"/>
                              </w:r>
                              <w:r>
                                <w:rPr>
                                  <w:lang w:val="zh-CN"/>
                                </w:rPr>
                                <w:t>II</w:t>
                              </w:r>
                              <w:r>
                                <w:fldChar w:fldCharType="end"/>
                              </w:r>
                            </w:p>
                          </w:sdtContent>
                        </w:sdt>
                        <w:p w14:paraId="7456F7C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976296401"/>
                    </w:sdtPr>
                    <w:sdtContent>
                      <w:p w14:paraId="4A889207">
                        <w:pPr>
                          <w:pStyle w:val="7"/>
                          <w:jc w:val="right"/>
                        </w:pPr>
                        <w:r>
                          <w:fldChar w:fldCharType="begin"/>
                        </w:r>
                        <w:r>
                          <w:instrText xml:space="preserve">PAGE   \* MERGEFORMAT</w:instrText>
                        </w:r>
                        <w:r>
                          <w:fldChar w:fldCharType="separate"/>
                        </w:r>
                        <w:r>
                          <w:rPr>
                            <w:lang w:val="zh-CN"/>
                          </w:rPr>
                          <w:t>II</w:t>
                        </w:r>
                        <w:r>
                          <w:fldChar w:fldCharType="end"/>
                        </w:r>
                      </w:p>
                    </w:sdtContent>
                  </w:sdt>
                  <w:p w14:paraId="7456F7CC"/>
                </w:txbxContent>
              </v:textbox>
            </v:shape>
          </w:pict>
        </mc:Fallback>
      </mc:AlternateContent>
    </w:r>
  </w:p>
  <w:p w14:paraId="32DF08C8">
    <w:pPr>
      <w:pStyle w:val="7"/>
    </w:pPr>
  </w:p>
  <w:p w14:paraId="31609DB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D000E">
    <w:pPr>
      <w:pStyle w:val="17"/>
      <w:jc w:val="center"/>
      <w:rPr>
        <w:rFonts w:cs="Times New Roman"/>
        <w:color w:val="auto"/>
      </w:rPr>
    </w:pPr>
    <w:r>
      <w:rPr>
        <w:rFonts w:ascii="Arial" w:hAnsi="Arial" w:cs="Arial"/>
      </w:rPr>
      <w:t>JJF ××××-××××</w:t>
    </w:r>
  </w:p>
  <w:p w14:paraId="30C8207C">
    <w:pPr>
      <w:spacing w:line="360" w:lineRule="auto"/>
      <w:ind w:firstLine="600" w:firstLineChars="200"/>
      <w:rPr>
        <w:sz w:val="30"/>
        <w:szCs w:val="30"/>
      </w:rPr>
    </w:pPr>
    <w:r>
      <w:rPr>
        <w:sz w:val="30"/>
        <w:szCs w:val="30"/>
      </w:rPr>
      <mc:AlternateContent>
        <mc:Choice Requires="wps">
          <w:drawing>
            <wp:anchor distT="0" distB="0" distL="114300" distR="114300" simplePos="0" relativeHeight="251660288" behindDoc="0" locked="0" layoutInCell="1" allowOverlap="1">
              <wp:simplePos x="0" y="0"/>
              <wp:positionH relativeFrom="column">
                <wp:posOffset>-135890</wp:posOffset>
              </wp:positionH>
              <wp:positionV relativeFrom="paragraph">
                <wp:posOffset>129540</wp:posOffset>
              </wp:positionV>
              <wp:extent cx="5707380" cy="0"/>
              <wp:effectExtent l="0" t="9525" r="7620" b="9525"/>
              <wp:wrapNone/>
              <wp:docPr id="22" name="Line 1"/>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9050">
                        <a:solidFill>
                          <a:srgbClr val="000000"/>
                        </a:solidFill>
                        <a:round/>
                      </a:ln>
                    </wps:spPr>
                    <wps:bodyPr/>
                  </wps:wsp>
                </a:graphicData>
              </a:graphic>
            </wp:anchor>
          </w:drawing>
        </mc:Choice>
        <mc:Fallback>
          <w:pict>
            <v:line id="Line 1" o:spid="_x0000_s1026" o:spt="20" style="position:absolute;left:0pt;margin-left:-10.7pt;margin-top:10.2pt;height:0pt;width:449.4pt;z-index:251660288;mso-width-relative:page;mso-height-relative:page;" filled="f" stroked="t" coordsize="21600,21600" o:gfxdata="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FQDTM1QAAAAkBAAAPAAAAAAAAAAEAIAAAACIAAABkcnMvZG93&#10;bnJldi54bWxQSwECFAAUAAAACACHTuJAwLkdBMoBAAChAwAADgAAAAAAAAABACAAAAAkAQAAZHJz&#10;L2Uyb0RvYy54bWxQSwUGAAAAAAYABgBZAQAAYAUAAAAA&#10;">
              <v:fill on="f" focussize="0,0"/>
              <v:stroke weight="1.5pt" color="#000000" joinstyle="round"/>
              <v:imagedata o:title=""/>
              <o:lock v:ext="edit" aspectratio="f"/>
            </v:line>
          </w:pict>
        </mc:Fallback>
      </mc:AlternateContent>
    </w:r>
  </w:p>
  <w:p w14:paraId="0892F138">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A0768">
    <w:pPr>
      <w:pStyle w:val="17"/>
      <w:jc w:val="center"/>
      <w:rPr>
        <w:rFonts w:ascii="楷体_GB2312" w:eastAsia="楷体_GB2312" w:cs="Times New Roman"/>
        <w:b/>
        <w:color w:val="auto"/>
      </w:rPr>
    </w:pPr>
    <w:r>
      <w:rPr>
        <w:rFonts w:hint="eastAsia" w:ascii="楷体_GB2312" w:hAnsi="Arial" w:eastAsia="楷体_GB2312" w:cs="Arial"/>
        <w:b/>
      </w:rPr>
      <w:t>JJF ××××-××××</w:t>
    </w:r>
  </w:p>
  <w:p w14:paraId="33BACDBD">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03082">
    <w:pPr>
      <w:pStyle w:val="8"/>
      <w:pBdr>
        <w:bottom w:val="single" w:color="auto" w:sz="6" w:space="0"/>
      </w:pBdr>
      <w:rPr>
        <w:rFonts w:ascii="黑体" w:hAnsi="黑体" w:eastAsia="黑体"/>
        <w:sz w:val="21"/>
        <w:szCs w:val="21"/>
      </w:rPr>
    </w:pPr>
    <w:r>
      <w:rPr>
        <w:rFonts w:ascii="黑体" w:hAnsi="黑体" w:eastAsia="黑体"/>
        <w:sz w:val="21"/>
        <w:szCs w:val="21"/>
      </w:rPr>
      <w:t xml:space="preserve">JJF </w:t>
    </w:r>
    <w:r>
      <w:rPr>
        <w:rFonts w:hint="eastAsia" w:ascii="黑体" w:hAnsi="黑体" w:eastAsia="黑体"/>
        <w:sz w:val="21"/>
        <w:szCs w:val="21"/>
      </w:rPr>
      <w:t>××××</w:t>
    </w:r>
    <w:r>
      <w:rPr>
        <w:rFonts w:ascii="黑体" w:hAnsi="黑体" w:eastAsia="黑体"/>
        <w:sz w:val="21"/>
        <w:szCs w:val="21"/>
      </w:rPr>
      <w:t>-××××</w:t>
    </w:r>
  </w:p>
  <w:p w14:paraId="1B01D986">
    <w:pPr>
      <w:pStyle w:val="8"/>
      <w:pBdr>
        <w:bottom w:val="single" w:color="auto" w:sz="6" w:space="0"/>
      </w:pBdr>
      <w:rPr>
        <w:rFonts w:ascii="黑体" w:hAnsi="黑体" w:eastAsia="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E313F">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30112">
    <w:pPr>
      <w:pStyle w:val="8"/>
      <w:pBdr>
        <w:bottom w:val="single" w:color="auto" w:sz="6" w:space="0"/>
      </w:pBdr>
      <w:rPr>
        <w:rFonts w:ascii="黑体" w:hAnsi="黑体" w:eastAsia="黑体"/>
        <w:sz w:val="21"/>
        <w:szCs w:val="21"/>
      </w:rPr>
    </w:pPr>
    <w:r>
      <w:rPr>
        <w:rFonts w:ascii="黑体" w:hAnsi="黑体" w:eastAsia="黑体"/>
        <w:sz w:val="21"/>
        <w:szCs w:val="21"/>
      </w:rPr>
      <w:t>JJ</w:t>
    </w:r>
    <w:r>
      <w:rPr>
        <w:rFonts w:hint="eastAsia" w:ascii="黑体" w:hAnsi="黑体" w:eastAsia="黑体"/>
        <w:sz w:val="21"/>
        <w:szCs w:val="21"/>
      </w:rPr>
      <w:t>F</w:t>
    </w:r>
    <w:r>
      <w:rPr>
        <w:rFonts w:ascii="黑体" w:hAnsi="黑体" w:eastAsia="黑体"/>
        <w:sz w:val="21"/>
        <w:szCs w:val="21"/>
      </w:rPr>
      <w:t xml:space="preserve"> </w:t>
    </w:r>
    <w:r>
      <w:rPr>
        <w:rFonts w:hint="eastAsia" w:ascii="黑体" w:hAnsi="黑体" w:eastAsia="黑体"/>
        <w:sz w:val="21"/>
        <w:szCs w:val="21"/>
      </w:rPr>
      <w:t>××××</w:t>
    </w:r>
    <w:r>
      <w:rPr>
        <w:rFonts w:ascii="黑体" w:hAnsi="黑体" w:eastAsia="黑体"/>
        <w:sz w:val="21"/>
        <w:szCs w:val="21"/>
      </w:rPr>
      <w:t>-××××</w:t>
    </w:r>
  </w:p>
  <w:p w14:paraId="6A1CFECE">
    <w:pPr>
      <w:pStyle w:val="8"/>
      <w:pBdr>
        <w:bottom w:val="single" w:color="auto" w:sz="6"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0D66A">
    <w:pPr>
      <w:pStyle w:val="8"/>
    </w:pPr>
    <w:r>
      <w:rPr>
        <w:rFonts w:ascii="黑体" w:hAnsi="黑体" w:eastAsia="黑体"/>
        <w:sz w:val="21"/>
        <w:szCs w:val="21"/>
      </w:rPr>
      <w:t>JJ</w:t>
    </w:r>
    <w:r>
      <w:rPr>
        <w:rFonts w:hint="eastAsia" w:ascii="黑体" w:hAnsi="黑体" w:eastAsia="黑体"/>
        <w:sz w:val="21"/>
        <w:szCs w:val="21"/>
      </w:rPr>
      <w:t>F</w:t>
    </w:r>
    <w:r>
      <w:rPr>
        <w:rFonts w:ascii="黑体" w:hAnsi="黑体" w:eastAsia="黑体"/>
        <w:sz w:val="21"/>
        <w:szCs w:val="21"/>
      </w:rPr>
      <w:t xml:space="preserve"> </w:t>
    </w:r>
    <w:r>
      <w:rPr>
        <w:rFonts w:hint="eastAsia" w:ascii="黑体" w:hAnsi="黑体" w:eastAsia="黑体"/>
        <w:sz w:val="21"/>
        <w:szCs w:val="21"/>
      </w:rPr>
      <w:t>××××</w:t>
    </w:r>
    <w:r>
      <w:rPr>
        <w:rFonts w:ascii="黑体" w:hAnsi="黑体" w:eastAsia="黑体"/>
        <w:sz w:val="21"/>
        <w:szCs w:val="21"/>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752EE">
    <w:pPr>
      <w:pStyle w:val="8"/>
    </w:pPr>
    <w:r>
      <w:rPr>
        <w:rFonts w:ascii="黑体" w:hAnsi="黑体" w:eastAsia="黑体"/>
        <w:sz w:val="21"/>
        <w:szCs w:val="21"/>
      </w:rPr>
      <w:t>JJ</w:t>
    </w:r>
    <w:r>
      <w:rPr>
        <w:rFonts w:hint="eastAsia" w:ascii="黑体" w:hAnsi="黑体" w:eastAsia="黑体"/>
        <w:sz w:val="21"/>
        <w:szCs w:val="21"/>
      </w:rPr>
      <w:t>F</w:t>
    </w:r>
    <w:r>
      <w:rPr>
        <w:rFonts w:ascii="黑体" w:hAnsi="黑体" w:eastAsia="黑体"/>
        <w:sz w:val="21"/>
        <w:szCs w:val="21"/>
      </w:rPr>
      <w:t xml:space="preserve"> </w:t>
    </w:r>
    <w:r>
      <w:rPr>
        <w:rFonts w:hint="eastAsia" w:ascii="黑体" w:hAnsi="黑体" w:eastAsia="黑体"/>
        <w:sz w:val="21"/>
        <w:szCs w:val="21"/>
      </w:rPr>
      <w:t>××××</w:t>
    </w:r>
    <w:r>
      <w:rPr>
        <w:rFonts w:ascii="黑体" w:hAnsi="黑体" w:eastAsia="黑体"/>
        <w:sz w:val="21"/>
        <w:szCs w:val="21"/>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A0A42">
    <w:pPr>
      <w:pStyle w:val="8"/>
    </w:pPr>
    <w:r>
      <w:rPr>
        <w:rFonts w:ascii="黑体" w:hAnsi="黑体" w:eastAsia="黑体"/>
        <w:sz w:val="21"/>
        <w:szCs w:val="21"/>
      </w:rPr>
      <w:t>JJ</w:t>
    </w:r>
    <w:r>
      <w:rPr>
        <w:rFonts w:hint="eastAsia" w:ascii="黑体" w:hAnsi="黑体" w:eastAsia="黑体"/>
        <w:sz w:val="21"/>
        <w:szCs w:val="21"/>
      </w:rPr>
      <w:t>F</w:t>
    </w:r>
    <w:r>
      <w:rPr>
        <w:rFonts w:ascii="黑体" w:hAnsi="黑体" w:eastAsia="黑体"/>
        <w:sz w:val="21"/>
        <w:szCs w:val="21"/>
      </w:rPr>
      <w:t xml:space="preserve"> </w:t>
    </w:r>
    <w:r>
      <w:rPr>
        <w:rFonts w:hint="eastAsia" w:ascii="黑体" w:hAnsi="黑体" w:eastAsia="黑体"/>
        <w:sz w:val="21"/>
        <w:szCs w:val="21"/>
      </w:rPr>
      <w:t>××××</w:t>
    </w:r>
    <w:r>
      <w:rPr>
        <w:rFonts w:ascii="黑体" w:hAnsi="黑体" w:eastAsia="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73519"/>
    <w:multiLevelType w:val="singleLevel"/>
    <w:tmpl w:val="C1A73519"/>
    <w:lvl w:ilvl="0" w:tentative="0">
      <w:start w:val="1"/>
      <w:numFmt w:val="decimal"/>
      <w:suff w:val="nothing"/>
      <w:lvlText w:val="（%1）"/>
      <w:lvlJc w:val="left"/>
    </w:lvl>
  </w:abstractNum>
  <w:abstractNum w:abstractNumId="1">
    <w:nsid w:val="D370F839"/>
    <w:multiLevelType w:val="singleLevel"/>
    <w:tmpl w:val="D370F839"/>
    <w:lvl w:ilvl="0" w:tentative="0">
      <w:start w:val="1"/>
      <w:numFmt w:val="decimal"/>
      <w:lvlText w:val="(%1)"/>
      <w:lvlJc w:val="left"/>
      <w:pPr>
        <w:ind w:left="425" w:hanging="425"/>
      </w:pPr>
      <w:rPr>
        <w:rFonts w:hint="default"/>
      </w:rPr>
    </w:lvl>
  </w:abstractNum>
  <w:abstractNum w:abstractNumId="2">
    <w:nsid w:val="0000000C"/>
    <w:multiLevelType w:val="multilevel"/>
    <w:tmpl w:val="0000000C"/>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FD828FD"/>
    <w:multiLevelType w:val="multilevel"/>
    <w:tmpl w:val="2FD828FD"/>
    <w:lvl w:ilvl="0" w:tentative="0">
      <w:start w:val="1"/>
      <w:numFmt w:val="decimal"/>
      <w:pStyle w:val="1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6C331EFC"/>
    <w:multiLevelType w:val="singleLevel"/>
    <w:tmpl w:val="6C331EFC"/>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44BE4"/>
    <w:rsid w:val="000716A8"/>
    <w:rsid w:val="000A087D"/>
    <w:rsid w:val="000A4D26"/>
    <w:rsid w:val="000B44D3"/>
    <w:rsid w:val="000F2DF9"/>
    <w:rsid w:val="000F3DA2"/>
    <w:rsid w:val="001050D6"/>
    <w:rsid w:val="00111805"/>
    <w:rsid w:val="00172A27"/>
    <w:rsid w:val="00175332"/>
    <w:rsid w:val="00212616"/>
    <w:rsid w:val="002E0677"/>
    <w:rsid w:val="0030632D"/>
    <w:rsid w:val="00425610"/>
    <w:rsid w:val="004B0E2B"/>
    <w:rsid w:val="00535376"/>
    <w:rsid w:val="00540B50"/>
    <w:rsid w:val="00622433"/>
    <w:rsid w:val="0066069E"/>
    <w:rsid w:val="00670A11"/>
    <w:rsid w:val="00704336"/>
    <w:rsid w:val="00731752"/>
    <w:rsid w:val="007520AD"/>
    <w:rsid w:val="00822899"/>
    <w:rsid w:val="00981E4A"/>
    <w:rsid w:val="009A0ED7"/>
    <w:rsid w:val="009A54D7"/>
    <w:rsid w:val="009B0E56"/>
    <w:rsid w:val="00A63BDF"/>
    <w:rsid w:val="00B14AB5"/>
    <w:rsid w:val="00B26A0B"/>
    <w:rsid w:val="00B736C1"/>
    <w:rsid w:val="00BD24DC"/>
    <w:rsid w:val="00CC2404"/>
    <w:rsid w:val="00DC0D06"/>
    <w:rsid w:val="00E17718"/>
    <w:rsid w:val="00E865C2"/>
    <w:rsid w:val="00F30DA8"/>
    <w:rsid w:val="00F94ACF"/>
    <w:rsid w:val="00FB094B"/>
    <w:rsid w:val="00FC5255"/>
    <w:rsid w:val="00FD14D5"/>
    <w:rsid w:val="018D077E"/>
    <w:rsid w:val="01A8245F"/>
    <w:rsid w:val="01CF1530"/>
    <w:rsid w:val="02002AC3"/>
    <w:rsid w:val="023F66B6"/>
    <w:rsid w:val="02B4065C"/>
    <w:rsid w:val="02C0255A"/>
    <w:rsid w:val="02C306E0"/>
    <w:rsid w:val="02C41476"/>
    <w:rsid w:val="034018AB"/>
    <w:rsid w:val="034B4BE6"/>
    <w:rsid w:val="03B409DD"/>
    <w:rsid w:val="0420291B"/>
    <w:rsid w:val="04640655"/>
    <w:rsid w:val="04793BDC"/>
    <w:rsid w:val="049A5E25"/>
    <w:rsid w:val="04F91FDA"/>
    <w:rsid w:val="051200B1"/>
    <w:rsid w:val="05C5027B"/>
    <w:rsid w:val="06204BEB"/>
    <w:rsid w:val="06DC4DCF"/>
    <w:rsid w:val="070976BC"/>
    <w:rsid w:val="072B67D2"/>
    <w:rsid w:val="07384722"/>
    <w:rsid w:val="079528D4"/>
    <w:rsid w:val="07A974A6"/>
    <w:rsid w:val="07AD06C6"/>
    <w:rsid w:val="08124C25"/>
    <w:rsid w:val="082D6FB0"/>
    <w:rsid w:val="08420CAE"/>
    <w:rsid w:val="08611FBF"/>
    <w:rsid w:val="08AB6853"/>
    <w:rsid w:val="08C22B80"/>
    <w:rsid w:val="08CB2A51"/>
    <w:rsid w:val="090518C8"/>
    <w:rsid w:val="09076F61"/>
    <w:rsid w:val="09320D22"/>
    <w:rsid w:val="0946736A"/>
    <w:rsid w:val="095347F5"/>
    <w:rsid w:val="09985EDF"/>
    <w:rsid w:val="09C55E04"/>
    <w:rsid w:val="09DB4F16"/>
    <w:rsid w:val="0ABF65E6"/>
    <w:rsid w:val="0B2D0409"/>
    <w:rsid w:val="0B8B23AB"/>
    <w:rsid w:val="0BCC2B7D"/>
    <w:rsid w:val="0C8805C9"/>
    <w:rsid w:val="0CE6479B"/>
    <w:rsid w:val="0D5C636E"/>
    <w:rsid w:val="0D5D15FB"/>
    <w:rsid w:val="0D774F56"/>
    <w:rsid w:val="0E12092A"/>
    <w:rsid w:val="0E341099"/>
    <w:rsid w:val="0E715E49"/>
    <w:rsid w:val="0E9E7E67"/>
    <w:rsid w:val="0EA214F1"/>
    <w:rsid w:val="0ECC4B2E"/>
    <w:rsid w:val="0EDB32C2"/>
    <w:rsid w:val="0EE731DE"/>
    <w:rsid w:val="0EE85074"/>
    <w:rsid w:val="0F0B016F"/>
    <w:rsid w:val="0F68445B"/>
    <w:rsid w:val="0FA31401"/>
    <w:rsid w:val="10341FC5"/>
    <w:rsid w:val="109C7E18"/>
    <w:rsid w:val="10D64689"/>
    <w:rsid w:val="116C6D9B"/>
    <w:rsid w:val="119C142F"/>
    <w:rsid w:val="121E1726"/>
    <w:rsid w:val="12490E8B"/>
    <w:rsid w:val="125735A8"/>
    <w:rsid w:val="125C32D7"/>
    <w:rsid w:val="12DE75CF"/>
    <w:rsid w:val="131D498C"/>
    <w:rsid w:val="137F0B55"/>
    <w:rsid w:val="13AA5006"/>
    <w:rsid w:val="13D47530"/>
    <w:rsid w:val="147946F0"/>
    <w:rsid w:val="14B72CF4"/>
    <w:rsid w:val="15040D42"/>
    <w:rsid w:val="15D62A35"/>
    <w:rsid w:val="15E17F9D"/>
    <w:rsid w:val="16095B10"/>
    <w:rsid w:val="16101208"/>
    <w:rsid w:val="16587C25"/>
    <w:rsid w:val="167F5187"/>
    <w:rsid w:val="16E80C03"/>
    <w:rsid w:val="1728122B"/>
    <w:rsid w:val="17683B61"/>
    <w:rsid w:val="17762AEC"/>
    <w:rsid w:val="179D4D2A"/>
    <w:rsid w:val="17A23E6D"/>
    <w:rsid w:val="17AA23CB"/>
    <w:rsid w:val="18DA596E"/>
    <w:rsid w:val="18EC37AB"/>
    <w:rsid w:val="192008C4"/>
    <w:rsid w:val="194128BC"/>
    <w:rsid w:val="194D796A"/>
    <w:rsid w:val="19630947"/>
    <w:rsid w:val="19A70CC9"/>
    <w:rsid w:val="1A023DF9"/>
    <w:rsid w:val="1AC35C7E"/>
    <w:rsid w:val="1AD03081"/>
    <w:rsid w:val="1B010554"/>
    <w:rsid w:val="1B2464E5"/>
    <w:rsid w:val="1B5E7755"/>
    <w:rsid w:val="1BB2184F"/>
    <w:rsid w:val="1C073948"/>
    <w:rsid w:val="1C1E39C9"/>
    <w:rsid w:val="1C3E1334"/>
    <w:rsid w:val="1CF76F76"/>
    <w:rsid w:val="1D214638"/>
    <w:rsid w:val="1D4961E3"/>
    <w:rsid w:val="1D7E14F8"/>
    <w:rsid w:val="1DDE4F4A"/>
    <w:rsid w:val="1E1D56A5"/>
    <w:rsid w:val="1EA553C4"/>
    <w:rsid w:val="1EBA7398"/>
    <w:rsid w:val="1EC5360D"/>
    <w:rsid w:val="1F022AED"/>
    <w:rsid w:val="1F6F7384"/>
    <w:rsid w:val="1F8B3696"/>
    <w:rsid w:val="1F8B663F"/>
    <w:rsid w:val="200C2FED"/>
    <w:rsid w:val="20476A09"/>
    <w:rsid w:val="20BB2501"/>
    <w:rsid w:val="20C3032D"/>
    <w:rsid w:val="216B2BCB"/>
    <w:rsid w:val="21F975DA"/>
    <w:rsid w:val="22394A78"/>
    <w:rsid w:val="22647910"/>
    <w:rsid w:val="228C3226"/>
    <w:rsid w:val="233A3024"/>
    <w:rsid w:val="236B2721"/>
    <w:rsid w:val="23CA4AA4"/>
    <w:rsid w:val="24003ED9"/>
    <w:rsid w:val="24085DC3"/>
    <w:rsid w:val="2432136A"/>
    <w:rsid w:val="245060A9"/>
    <w:rsid w:val="24CA30F2"/>
    <w:rsid w:val="24CF3471"/>
    <w:rsid w:val="24FB7DC2"/>
    <w:rsid w:val="24FF56B6"/>
    <w:rsid w:val="25FD7B6A"/>
    <w:rsid w:val="264E03C6"/>
    <w:rsid w:val="266F6CBA"/>
    <w:rsid w:val="26CD46B8"/>
    <w:rsid w:val="26D06FB3"/>
    <w:rsid w:val="27A04D10"/>
    <w:rsid w:val="27B20A9F"/>
    <w:rsid w:val="28546167"/>
    <w:rsid w:val="287E35BD"/>
    <w:rsid w:val="28B20A2F"/>
    <w:rsid w:val="28B74948"/>
    <w:rsid w:val="28E92110"/>
    <w:rsid w:val="293E72EA"/>
    <w:rsid w:val="294E3D3B"/>
    <w:rsid w:val="29511DE6"/>
    <w:rsid w:val="2AAC403B"/>
    <w:rsid w:val="2B1F31E7"/>
    <w:rsid w:val="2B271939"/>
    <w:rsid w:val="2B617BF9"/>
    <w:rsid w:val="2B8925CC"/>
    <w:rsid w:val="2C0C6A1F"/>
    <w:rsid w:val="2D075B18"/>
    <w:rsid w:val="2D187F2F"/>
    <w:rsid w:val="2D9214E0"/>
    <w:rsid w:val="2D9A2244"/>
    <w:rsid w:val="2DA07270"/>
    <w:rsid w:val="2DA67357"/>
    <w:rsid w:val="2DED6B41"/>
    <w:rsid w:val="2E782484"/>
    <w:rsid w:val="2E850643"/>
    <w:rsid w:val="2ED55B28"/>
    <w:rsid w:val="2EF32283"/>
    <w:rsid w:val="30882E18"/>
    <w:rsid w:val="30D83820"/>
    <w:rsid w:val="30DB52C0"/>
    <w:rsid w:val="30F8186F"/>
    <w:rsid w:val="30F878AC"/>
    <w:rsid w:val="310B19E4"/>
    <w:rsid w:val="31295CB7"/>
    <w:rsid w:val="31365753"/>
    <w:rsid w:val="31B77104"/>
    <w:rsid w:val="3227669B"/>
    <w:rsid w:val="32B10EA9"/>
    <w:rsid w:val="32BC6DD4"/>
    <w:rsid w:val="33243C1D"/>
    <w:rsid w:val="33311052"/>
    <w:rsid w:val="33435AC0"/>
    <w:rsid w:val="33AA7583"/>
    <w:rsid w:val="33AE06F6"/>
    <w:rsid w:val="33D77818"/>
    <w:rsid w:val="33F55E6A"/>
    <w:rsid w:val="33FE78CF"/>
    <w:rsid w:val="34177148"/>
    <w:rsid w:val="349C0FCB"/>
    <w:rsid w:val="34B74238"/>
    <w:rsid w:val="34D42E51"/>
    <w:rsid w:val="34DD5737"/>
    <w:rsid w:val="34F760D5"/>
    <w:rsid w:val="354D5AA0"/>
    <w:rsid w:val="3576620E"/>
    <w:rsid w:val="35CB3464"/>
    <w:rsid w:val="35D9514A"/>
    <w:rsid w:val="35E5602C"/>
    <w:rsid w:val="36F836BA"/>
    <w:rsid w:val="36FF7BE6"/>
    <w:rsid w:val="37194666"/>
    <w:rsid w:val="372907AD"/>
    <w:rsid w:val="373158C6"/>
    <w:rsid w:val="37424565"/>
    <w:rsid w:val="37864AF5"/>
    <w:rsid w:val="37B835EC"/>
    <w:rsid w:val="37D86429"/>
    <w:rsid w:val="37DA5F5D"/>
    <w:rsid w:val="37ED0C38"/>
    <w:rsid w:val="380229BE"/>
    <w:rsid w:val="380C7ECD"/>
    <w:rsid w:val="38CA4224"/>
    <w:rsid w:val="39191395"/>
    <w:rsid w:val="392562C1"/>
    <w:rsid w:val="395D657E"/>
    <w:rsid w:val="39975659"/>
    <w:rsid w:val="39B21813"/>
    <w:rsid w:val="39E42136"/>
    <w:rsid w:val="3A210611"/>
    <w:rsid w:val="3A4F49E1"/>
    <w:rsid w:val="3A9844EC"/>
    <w:rsid w:val="3AA60379"/>
    <w:rsid w:val="3B1D0308"/>
    <w:rsid w:val="3B667278"/>
    <w:rsid w:val="3BBD1E1E"/>
    <w:rsid w:val="3BF53222"/>
    <w:rsid w:val="3C1C7455"/>
    <w:rsid w:val="3C420EB7"/>
    <w:rsid w:val="3C6F3118"/>
    <w:rsid w:val="3D211F38"/>
    <w:rsid w:val="3D393726"/>
    <w:rsid w:val="3DAC751E"/>
    <w:rsid w:val="3E23240C"/>
    <w:rsid w:val="3E465190"/>
    <w:rsid w:val="3F10773B"/>
    <w:rsid w:val="3F3800B5"/>
    <w:rsid w:val="3F5605BF"/>
    <w:rsid w:val="3F604689"/>
    <w:rsid w:val="3F6F342F"/>
    <w:rsid w:val="3FA43FFC"/>
    <w:rsid w:val="3FB3424F"/>
    <w:rsid w:val="3FD10D23"/>
    <w:rsid w:val="3FE71D73"/>
    <w:rsid w:val="4002441C"/>
    <w:rsid w:val="4053257A"/>
    <w:rsid w:val="40A435AC"/>
    <w:rsid w:val="40B56A22"/>
    <w:rsid w:val="40E25792"/>
    <w:rsid w:val="41655E3D"/>
    <w:rsid w:val="41BB2E72"/>
    <w:rsid w:val="420E6F2F"/>
    <w:rsid w:val="42215F75"/>
    <w:rsid w:val="42786A9F"/>
    <w:rsid w:val="429707AE"/>
    <w:rsid w:val="42C92410"/>
    <w:rsid w:val="42D02062"/>
    <w:rsid w:val="42E436CE"/>
    <w:rsid w:val="430C5F67"/>
    <w:rsid w:val="4354241C"/>
    <w:rsid w:val="439C0C1F"/>
    <w:rsid w:val="439F0110"/>
    <w:rsid w:val="43A118CC"/>
    <w:rsid w:val="43BC29BB"/>
    <w:rsid w:val="43C804CD"/>
    <w:rsid w:val="44D06CB9"/>
    <w:rsid w:val="44F05012"/>
    <w:rsid w:val="454A18B1"/>
    <w:rsid w:val="456164D6"/>
    <w:rsid w:val="45894506"/>
    <w:rsid w:val="459937E7"/>
    <w:rsid w:val="45A100BA"/>
    <w:rsid w:val="45C43CC4"/>
    <w:rsid w:val="45F32BB9"/>
    <w:rsid w:val="4656708B"/>
    <w:rsid w:val="467976F1"/>
    <w:rsid w:val="46832BE1"/>
    <w:rsid w:val="46FA3F26"/>
    <w:rsid w:val="472965B9"/>
    <w:rsid w:val="473B2326"/>
    <w:rsid w:val="474433F3"/>
    <w:rsid w:val="47F53EBD"/>
    <w:rsid w:val="480D2CF3"/>
    <w:rsid w:val="48321755"/>
    <w:rsid w:val="490C4C58"/>
    <w:rsid w:val="4A5934B8"/>
    <w:rsid w:val="4A791606"/>
    <w:rsid w:val="4AE922E8"/>
    <w:rsid w:val="4B69167A"/>
    <w:rsid w:val="4B8A29C8"/>
    <w:rsid w:val="4BA80A71"/>
    <w:rsid w:val="4C165545"/>
    <w:rsid w:val="4C26756B"/>
    <w:rsid w:val="4C417F01"/>
    <w:rsid w:val="4C8F3363"/>
    <w:rsid w:val="4CB90894"/>
    <w:rsid w:val="4CD17E4C"/>
    <w:rsid w:val="4CFE5DF2"/>
    <w:rsid w:val="4D0375AA"/>
    <w:rsid w:val="4D4C13DD"/>
    <w:rsid w:val="4D8E7176"/>
    <w:rsid w:val="4DA42E3E"/>
    <w:rsid w:val="4DDF79D2"/>
    <w:rsid w:val="4DF571F5"/>
    <w:rsid w:val="4E086F29"/>
    <w:rsid w:val="4E602528"/>
    <w:rsid w:val="4EBB3FF9"/>
    <w:rsid w:val="4FF338BE"/>
    <w:rsid w:val="5003209D"/>
    <w:rsid w:val="500B71A4"/>
    <w:rsid w:val="50310937"/>
    <w:rsid w:val="505B7605"/>
    <w:rsid w:val="50772144"/>
    <w:rsid w:val="50F766CE"/>
    <w:rsid w:val="510E0CFA"/>
    <w:rsid w:val="51556929"/>
    <w:rsid w:val="51BA0A20"/>
    <w:rsid w:val="51F75BF4"/>
    <w:rsid w:val="52157E66"/>
    <w:rsid w:val="52304CA0"/>
    <w:rsid w:val="52840D9F"/>
    <w:rsid w:val="52A64F62"/>
    <w:rsid w:val="52F263F9"/>
    <w:rsid w:val="538A799B"/>
    <w:rsid w:val="53913869"/>
    <w:rsid w:val="53FC12DE"/>
    <w:rsid w:val="54031D01"/>
    <w:rsid w:val="5428286C"/>
    <w:rsid w:val="543146B5"/>
    <w:rsid w:val="5484281F"/>
    <w:rsid w:val="54852668"/>
    <w:rsid w:val="54B642B4"/>
    <w:rsid w:val="54D95506"/>
    <w:rsid w:val="54E029AD"/>
    <w:rsid w:val="54F616B0"/>
    <w:rsid w:val="550D1003"/>
    <w:rsid w:val="551B0596"/>
    <w:rsid w:val="555D54D0"/>
    <w:rsid w:val="557B3199"/>
    <w:rsid w:val="55D028B1"/>
    <w:rsid w:val="55F761C0"/>
    <w:rsid w:val="56257688"/>
    <w:rsid w:val="56C97471"/>
    <w:rsid w:val="57316ED0"/>
    <w:rsid w:val="57C04805"/>
    <w:rsid w:val="57E44183"/>
    <w:rsid w:val="581B2000"/>
    <w:rsid w:val="589A7317"/>
    <w:rsid w:val="59CF2FF0"/>
    <w:rsid w:val="5A2B335B"/>
    <w:rsid w:val="5A446DF9"/>
    <w:rsid w:val="5A494B51"/>
    <w:rsid w:val="5ACB7C16"/>
    <w:rsid w:val="5AE14D89"/>
    <w:rsid w:val="5B48305A"/>
    <w:rsid w:val="5B7E6AE5"/>
    <w:rsid w:val="5B953DC6"/>
    <w:rsid w:val="5BD82F9F"/>
    <w:rsid w:val="5C0F5926"/>
    <w:rsid w:val="5C684FA6"/>
    <w:rsid w:val="5CA472CD"/>
    <w:rsid w:val="5CD83030"/>
    <w:rsid w:val="5D1A27D4"/>
    <w:rsid w:val="5D1B354E"/>
    <w:rsid w:val="5DCB7FDF"/>
    <w:rsid w:val="5DF0167B"/>
    <w:rsid w:val="5E0D40E7"/>
    <w:rsid w:val="5E895E64"/>
    <w:rsid w:val="5EEE27E0"/>
    <w:rsid w:val="5F0C25F1"/>
    <w:rsid w:val="5F1679B9"/>
    <w:rsid w:val="5F28567D"/>
    <w:rsid w:val="5F790364"/>
    <w:rsid w:val="5F791246"/>
    <w:rsid w:val="5F97263A"/>
    <w:rsid w:val="5FE53C78"/>
    <w:rsid w:val="6037544B"/>
    <w:rsid w:val="604076E3"/>
    <w:rsid w:val="608C6C98"/>
    <w:rsid w:val="60CA4A15"/>
    <w:rsid w:val="60D07D7A"/>
    <w:rsid w:val="60E92BEA"/>
    <w:rsid w:val="61007C58"/>
    <w:rsid w:val="611E4435"/>
    <w:rsid w:val="614F601C"/>
    <w:rsid w:val="61935037"/>
    <w:rsid w:val="61EF4230"/>
    <w:rsid w:val="61F20204"/>
    <w:rsid w:val="6212144F"/>
    <w:rsid w:val="62303039"/>
    <w:rsid w:val="6296460E"/>
    <w:rsid w:val="62B54C20"/>
    <w:rsid w:val="62CE7DEB"/>
    <w:rsid w:val="62E220B8"/>
    <w:rsid w:val="62E713AB"/>
    <w:rsid w:val="62F87114"/>
    <w:rsid w:val="63846BFA"/>
    <w:rsid w:val="639C03E7"/>
    <w:rsid w:val="63A63014"/>
    <w:rsid w:val="63C74D38"/>
    <w:rsid w:val="63F460F1"/>
    <w:rsid w:val="64B26BAD"/>
    <w:rsid w:val="64C71494"/>
    <w:rsid w:val="65273CE0"/>
    <w:rsid w:val="65B0101B"/>
    <w:rsid w:val="65BB267B"/>
    <w:rsid w:val="65DA0F5A"/>
    <w:rsid w:val="65ED67A7"/>
    <w:rsid w:val="65F30067"/>
    <w:rsid w:val="65F8633E"/>
    <w:rsid w:val="660154F4"/>
    <w:rsid w:val="6676207B"/>
    <w:rsid w:val="66873AE4"/>
    <w:rsid w:val="670D5DDA"/>
    <w:rsid w:val="67622ED4"/>
    <w:rsid w:val="676236F6"/>
    <w:rsid w:val="679413D5"/>
    <w:rsid w:val="67B55688"/>
    <w:rsid w:val="67BB0DA0"/>
    <w:rsid w:val="67C43A69"/>
    <w:rsid w:val="68136D44"/>
    <w:rsid w:val="68770F73"/>
    <w:rsid w:val="69272501"/>
    <w:rsid w:val="695E5E63"/>
    <w:rsid w:val="69E25D3F"/>
    <w:rsid w:val="6A70612A"/>
    <w:rsid w:val="6AC50223"/>
    <w:rsid w:val="6B113469"/>
    <w:rsid w:val="6B1511AC"/>
    <w:rsid w:val="6B2A4D1D"/>
    <w:rsid w:val="6B530C09"/>
    <w:rsid w:val="6BB6017E"/>
    <w:rsid w:val="6C0A010F"/>
    <w:rsid w:val="6C2D6920"/>
    <w:rsid w:val="6C5A2BED"/>
    <w:rsid w:val="6C6B7D14"/>
    <w:rsid w:val="6C89211E"/>
    <w:rsid w:val="6D056FFD"/>
    <w:rsid w:val="6D5A635D"/>
    <w:rsid w:val="6D5E04BB"/>
    <w:rsid w:val="6D6C284B"/>
    <w:rsid w:val="6D720CBF"/>
    <w:rsid w:val="6D725D15"/>
    <w:rsid w:val="6DE51CEE"/>
    <w:rsid w:val="6EDC59E1"/>
    <w:rsid w:val="6F0B2D5D"/>
    <w:rsid w:val="6F4D07E7"/>
    <w:rsid w:val="6FAD1286"/>
    <w:rsid w:val="6FB66B83"/>
    <w:rsid w:val="6FB70357"/>
    <w:rsid w:val="70115CB9"/>
    <w:rsid w:val="706814F1"/>
    <w:rsid w:val="709A51BB"/>
    <w:rsid w:val="70BF5715"/>
    <w:rsid w:val="70F03B20"/>
    <w:rsid w:val="70F55334"/>
    <w:rsid w:val="714645F5"/>
    <w:rsid w:val="71703D4B"/>
    <w:rsid w:val="71C23BDA"/>
    <w:rsid w:val="725105EF"/>
    <w:rsid w:val="727C2D5A"/>
    <w:rsid w:val="733F6699"/>
    <w:rsid w:val="739C6873"/>
    <w:rsid w:val="74833309"/>
    <w:rsid w:val="749649DF"/>
    <w:rsid w:val="74C10D01"/>
    <w:rsid w:val="74E251C4"/>
    <w:rsid w:val="752012BF"/>
    <w:rsid w:val="753B5D8C"/>
    <w:rsid w:val="754A1824"/>
    <w:rsid w:val="75864A53"/>
    <w:rsid w:val="75B6092A"/>
    <w:rsid w:val="75D532E5"/>
    <w:rsid w:val="75D91F1C"/>
    <w:rsid w:val="75F9303C"/>
    <w:rsid w:val="763B1F6B"/>
    <w:rsid w:val="764C400F"/>
    <w:rsid w:val="76A51D5C"/>
    <w:rsid w:val="76F45827"/>
    <w:rsid w:val="770766A0"/>
    <w:rsid w:val="77155E11"/>
    <w:rsid w:val="77AA64A2"/>
    <w:rsid w:val="7831514A"/>
    <w:rsid w:val="78591FAB"/>
    <w:rsid w:val="78916FDE"/>
    <w:rsid w:val="789B06A0"/>
    <w:rsid w:val="791740A9"/>
    <w:rsid w:val="7A044199"/>
    <w:rsid w:val="7AB70CD6"/>
    <w:rsid w:val="7AF67146"/>
    <w:rsid w:val="7B40713A"/>
    <w:rsid w:val="7B8C08E9"/>
    <w:rsid w:val="7BC53F6E"/>
    <w:rsid w:val="7C22556B"/>
    <w:rsid w:val="7C4D1E27"/>
    <w:rsid w:val="7C95557C"/>
    <w:rsid w:val="7CC15DA4"/>
    <w:rsid w:val="7D5A1630"/>
    <w:rsid w:val="7D932D0A"/>
    <w:rsid w:val="7D9D06C1"/>
    <w:rsid w:val="7DB303AF"/>
    <w:rsid w:val="7DF52776"/>
    <w:rsid w:val="7E1547BC"/>
    <w:rsid w:val="7E3A462D"/>
    <w:rsid w:val="7E3C589A"/>
    <w:rsid w:val="7E421CE0"/>
    <w:rsid w:val="7ED507C9"/>
    <w:rsid w:val="7EF96296"/>
    <w:rsid w:val="7EFB3DBC"/>
    <w:rsid w:val="7F304232"/>
    <w:rsid w:val="7F44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0"/>
    <w:pPr>
      <w:keepNext/>
      <w:keepLines/>
      <w:spacing w:before="20" w:after="20"/>
      <w:outlineLvl w:val="1"/>
    </w:pPr>
    <w:rPr>
      <w:rFonts w:asciiTheme="majorHAnsi" w:hAnsiTheme="majorHAnsi" w:eastAsiaTheme="majorEastAsia" w:cstheme="majorBidi"/>
      <w:b/>
      <w:bCs/>
      <w:szCs w:val="32"/>
    </w:rPr>
  </w:style>
  <w:style w:type="paragraph" w:styleId="4">
    <w:name w:val="heading 3"/>
    <w:basedOn w:val="1"/>
    <w:next w:val="1"/>
    <w:link w:val="28"/>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9"/>
    <w:qFormat/>
    <w:uiPriority w:val="0"/>
    <w:pPr>
      <w:jc w:val="left"/>
    </w:pPr>
  </w:style>
  <w:style w:type="paragraph" w:styleId="6">
    <w:name w:val="Balloon Text"/>
    <w:basedOn w:val="1"/>
    <w:link w:val="42"/>
    <w:qFormat/>
    <w:uiPriority w:val="0"/>
    <w:rPr>
      <w:sz w:val="18"/>
      <w:szCs w:val="18"/>
    </w:rPr>
  </w:style>
  <w:style w:type="paragraph" w:styleId="7">
    <w:name w:val="footer"/>
    <w:basedOn w:val="1"/>
    <w:link w:val="26"/>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9">
    <w:name w:val="toc 1"/>
    <w:next w:val="1"/>
    <w:qFormat/>
    <w:uiPriority w:val="39"/>
    <w:pPr>
      <w:jc w:val="both"/>
    </w:pPr>
    <w:rPr>
      <w:rFonts w:ascii="宋体" w:hAnsi="Times New Roman" w:eastAsia="宋体" w:cs="Times New Roman"/>
      <w:sz w:val="21"/>
      <w:lang w:val="en-US" w:eastAsia="zh-CN" w:bidi="ar-SA"/>
    </w:rPr>
  </w:style>
  <w:style w:type="paragraph" w:styleId="10">
    <w:name w:val="toc 2"/>
    <w:basedOn w:val="1"/>
    <w:next w:val="1"/>
    <w:qFormat/>
    <w:uiPriority w:val="39"/>
    <w:pPr>
      <w:ind w:left="420" w:leftChars="200"/>
    </w:pPr>
  </w:style>
  <w:style w:type="paragraph" w:styleId="11">
    <w:name w:val="annotation subject"/>
    <w:basedOn w:val="5"/>
    <w:next w:val="5"/>
    <w:link w:val="40"/>
    <w:qFormat/>
    <w:uiPriority w:val="0"/>
    <w:rPr>
      <w:b/>
      <w:bCs/>
    </w:r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styleId="16">
    <w:name w:val="annotation reference"/>
    <w:basedOn w:val="14"/>
    <w:qFormat/>
    <w:uiPriority w:val="0"/>
    <w:rPr>
      <w:sz w:val="21"/>
      <w:szCs w:val="21"/>
    </w:rPr>
  </w:style>
  <w:style w:type="paragraph" w:customStyle="1" w:styleId="17">
    <w:name w:val="Default"/>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18">
    <w:name w:val="段"/>
    <w:next w:val="1"/>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19">
    <w:name w:val="前言、引言标题"/>
    <w:next w:val="1"/>
    <w:qFormat/>
    <w:uiPriority w:val="0"/>
    <w:pPr>
      <w:numPr>
        <w:ilvl w:val="0"/>
        <w:numId w:val="1"/>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styleId="20">
    <w:name w:val="List Paragraph"/>
    <w:basedOn w:val="1"/>
    <w:qFormat/>
    <w:uiPriority w:val="34"/>
    <w:pPr>
      <w:ind w:firstLine="420" w:firstLineChars="200"/>
    </w:pPr>
  </w:style>
  <w:style w:type="paragraph" w:customStyle="1" w:styleId="21">
    <w:name w:val="第一层"/>
    <w:basedOn w:val="2"/>
    <w:qFormat/>
    <w:uiPriority w:val="0"/>
    <w:pPr>
      <w:spacing w:line="360" w:lineRule="auto"/>
    </w:pPr>
    <w:rPr>
      <w:rFonts w:ascii="黑体" w:eastAsia="黑体"/>
      <w:sz w:val="24"/>
      <w:szCs w:val="24"/>
    </w:rPr>
  </w:style>
  <w:style w:type="character" w:customStyle="1" w:styleId="22">
    <w:name w:val="IOPText Char"/>
    <w:link w:val="23"/>
    <w:qFormat/>
    <w:uiPriority w:val="0"/>
  </w:style>
  <w:style w:type="paragraph" w:customStyle="1" w:styleId="23">
    <w:name w:val="IOPText"/>
    <w:basedOn w:val="24"/>
    <w:link w:val="22"/>
    <w:qFormat/>
    <w:uiPriority w:val="0"/>
    <w:pPr>
      <w:ind w:right="0" w:firstLine="227"/>
    </w:pPr>
  </w:style>
  <w:style w:type="paragraph" w:customStyle="1" w:styleId="24">
    <w:name w:val="IOPAbsText"/>
    <w:basedOn w:val="1"/>
    <w:qFormat/>
    <w:uiPriority w:val="0"/>
    <w:pPr>
      <w:ind w:right="2552"/>
    </w:pPr>
    <w:rPr>
      <w:sz w:val="20"/>
    </w:rPr>
  </w:style>
  <w:style w:type="paragraph" w:customStyle="1" w:styleId="25">
    <w:name w:val="附录的标题"/>
    <w:basedOn w:val="1"/>
    <w:qFormat/>
    <w:uiPriority w:val="0"/>
    <w:pPr>
      <w:jc w:val="center"/>
    </w:pPr>
    <w:rPr>
      <w:rFonts w:ascii="黑体" w:hAnsi="黑体" w:eastAsia="黑体"/>
      <w:sz w:val="32"/>
      <w:szCs w:val="32"/>
    </w:rPr>
  </w:style>
  <w:style w:type="character" w:customStyle="1" w:styleId="26">
    <w:name w:val="页脚 字符"/>
    <w:basedOn w:val="14"/>
    <w:link w:val="7"/>
    <w:qFormat/>
    <w:uiPriority w:val="99"/>
    <w:rPr>
      <w:rFonts w:ascii="Times New Roman" w:hAnsi="Times New Roman" w:cs="Times New Roman"/>
      <w:kern w:val="2"/>
      <w:sz w:val="18"/>
      <w:szCs w:val="18"/>
    </w:rPr>
  </w:style>
  <w:style w:type="character" w:customStyle="1" w:styleId="27">
    <w:name w:val="标题 2 字符"/>
    <w:basedOn w:val="14"/>
    <w:link w:val="3"/>
    <w:semiHidden/>
    <w:qFormat/>
    <w:uiPriority w:val="0"/>
    <w:rPr>
      <w:rFonts w:asciiTheme="majorHAnsi" w:hAnsiTheme="majorHAnsi" w:eastAsiaTheme="majorEastAsia" w:cstheme="majorBidi"/>
      <w:b/>
      <w:bCs/>
      <w:kern w:val="2"/>
      <w:sz w:val="24"/>
      <w:szCs w:val="32"/>
    </w:rPr>
  </w:style>
  <w:style w:type="character" w:customStyle="1" w:styleId="28">
    <w:name w:val="标题 3 字符"/>
    <w:basedOn w:val="14"/>
    <w:link w:val="4"/>
    <w:semiHidden/>
    <w:qFormat/>
    <w:uiPriority w:val="0"/>
    <w:rPr>
      <w:rFonts w:ascii="Times New Roman" w:hAnsi="Times New Roman" w:cs="Times New Roman"/>
      <w:b/>
      <w:bCs/>
      <w:kern w:val="2"/>
      <w:sz w:val="32"/>
      <w:szCs w:val="32"/>
    </w:rPr>
  </w:style>
  <w:style w:type="character" w:customStyle="1" w:styleId="29">
    <w:name w:val="font01"/>
    <w:basedOn w:val="14"/>
    <w:qFormat/>
    <w:uiPriority w:val="0"/>
    <w:rPr>
      <w:rFonts w:hint="eastAsia" w:ascii="宋体" w:hAnsi="宋体" w:eastAsia="宋体" w:cs="宋体"/>
      <w:color w:val="000000"/>
      <w:sz w:val="22"/>
      <w:szCs w:val="22"/>
      <w:u w:val="none"/>
    </w:rPr>
  </w:style>
  <w:style w:type="character" w:customStyle="1" w:styleId="30">
    <w:name w:val="font11"/>
    <w:basedOn w:val="14"/>
    <w:qFormat/>
    <w:uiPriority w:val="0"/>
    <w:rPr>
      <w:rFonts w:ascii="宋体" w:hAnsi="宋体" w:eastAsia="宋体" w:cs="宋体"/>
      <w:color w:val="000000"/>
      <w:sz w:val="22"/>
      <w:szCs w:val="22"/>
      <w:u w:val="none"/>
    </w:rPr>
  </w:style>
  <w:style w:type="character" w:customStyle="1" w:styleId="31">
    <w:name w:val="font31"/>
    <w:basedOn w:val="14"/>
    <w:qFormat/>
    <w:uiPriority w:val="0"/>
    <w:rPr>
      <w:rFonts w:hint="default" w:ascii="Times New Roman" w:hAnsi="Times New Roman" w:cs="Times New Roman"/>
      <w:color w:val="000000"/>
      <w:sz w:val="21"/>
      <w:szCs w:val="21"/>
      <w:u w:val="none"/>
    </w:rPr>
  </w:style>
  <w:style w:type="character" w:customStyle="1" w:styleId="32">
    <w:name w:val="font41"/>
    <w:basedOn w:val="14"/>
    <w:qFormat/>
    <w:uiPriority w:val="0"/>
    <w:rPr>
      <w:rFonts w:hint="eastAsia" w:ascii="宋体" w:hAnsi="宋体" w:eastAsia="宋体" w:cs="宋体"/>
      <w:i/>
      <w:iCs/>
      <w:color w:val="000000"/>
      <w:sz w:val="21"/>
      <w:szCs w:val="21"/>
      <w:u w:val="none"/>
    </w:rPr>
  </w:style>
  <w:style w:type="character" w:customStyle="1" w:styleId="33">
    <w:name w:val="font21"/>
    <w:basedOn w:val="14"/>
    <w:qFormat/>
    <w:uiPriority w:val="0"/>
    <w:rPr>
      <w:rFonts w:hint="eastAsia" w:ascii="宋体" w:hAnsi="宋体" w:eastAsia="宋体" w:cs="宋体"/>
      <w:color w:val="000000"/>
      <w:sz w:val="21"/>
      <w:szCs w:val="21"/>
      <w:u w:val="none"/>
      <w:vertAlign w:val="subscript"/>
    </w:rPr>
  </w:style>
  <w:style w:type="character" w:customStyle="1" w:styleId="34">
    <w:name w:val="font71"/>
    <w:basedOn w:val="14"/>
    <w:qFormat/>
    <w:uiPriority w:val="0"/>
    <w:rPr>
      <w:rFonts w:hint="eastAsia" w:ascii="宋体" w:hAnsi="宋体" w:eastAsia="宋体" w:cs="宋体"/>
      <w:i/>
      <w:iCs/>
      <w:color w:val="000000"/>
      <w:sz w:val="24"/>
      <w:szCs w:val="24"/>
      <w:u w:val="none"/>
    </w:rPr>
  </w:style>
  <w:style w:type="character" w:customStyle="1" w:styleId="35">
    <w:name w:val="font81"/>
    <w:basedOn w:val="14"/>
    <w:qFormat/>
    <w:uiPriority w:val="0"/>
    <w:rPr>
      <w:rFonts w:ascii="宋体" w:hAnsi="宋体" w:eastAsia="宋体" w:cs="宋体"/>
      <w:color w:val="000000"/>
      <w:sz w:val="22"/>
      <w:szCs w:val="22"/>
      <w:u w:val="none"/>
    </w:rPr>
  </w:style>
  <w:style w:type="character" w:customStyle="1" w:styleId="36">
    <w:name w:val="font51"/>
    <w:basedOn w:val="14"/>
    <w:qFormat/>
    <w:uiPriority w:val="0"/>
    <w:rPr>
      <w:rFonts w:hint="eastAsia" w:ascii="宋体" w:hAnsi="宋体" w:eastAsia="宋体" w:cs="宋体"/>
      <w:i/>
      <w:iCs/>
      <w:color w:val="000000"/>
      <w:sz w:val="21"/>
      <w:szCs w:val="21"/>
      <w:u w:val="none"/>
    </w:rPr>
  </w:style>
  <w:style w:type="character" w:customStyle="1" w:styleId="37">
    <w:name w:val="font61"/>
    <w:basedOn w:val="14"/>
    <w:qFormat/>
    <w:uiPriority w:val="0"/>
    <w:rPr>
      <w:rFonts w:ascii="宋体" w:hAnsi="宋体" w:eastAsia="宋体" w:cs="宋体"/>
      <w:color w:val="000000"/>
      <w:sz w:val="22"/>
      <w:szCs w:val="22"/>
      <w:u w:val="none"/>
    </w:rPr>
  </w:style>
  <w:style w:type="paragraph" w:customStyle="1" w:styleId="38">
    <w:name w:val="修订1"/>
    <w:hidden/>
    <w:unhideWhenUsed/>
    <w:qFormat/>
    <w:uiPriority w:val="99"/>
    <w:rPr>
      <w:rFonts w:ascii="Times New Roman" w:hAnsi="Times New Roman" w:cs="Times New Roman" w:eastAsiaTheme="minorEastAsia"/>
      <w:kern w:val="2"/>
      <w:sz w:val="24"/>
      <w:szCs w:val="24"/>
      <w:lang w:val="en-US" w:eastAsia="zh-CN" w:bidi="ar-SA"/>
    </w:rPr>
  </w:style>
  <w:style w:type="character" w:customStyle="1" w:styleId="39">
    <w:name w:val="批注文字 字符"/>
    <w:basedOn w:val="14"/>
    <w:link w:val="5"/>
    <w:qFormat/>
    <w:uiPriority w:val="0"/>
    <w:rPr>
      <w:rFonts w:eastAsiaTheme="minorEastAsia"/>
      <w:kern w:val="2"/>
      <w:sz w:val="24"/>
      <w:szCs w:val="24"/>
    </w:rPr>
  </w:style>
  <w:style w:type="character" w:customStyle="1" w:styleId="40">
    <w:name w:val="批注主题 字符"/>
    <w:basedOn w:val="39"/>
    <w:link w:val="11"/>
    <w:qFormat/>
    <w:uiPriority w:val="0"/>
    <w:rPr>
      <w:rFonts w:eastAsiaTheme="minorEastAsia"/>
      <w:b/>
      <w:bCs/>
      <w:kern w:val="2"/>
      <w:sz w:val="24"/>
      <w:szCs w:val="24"/>
    </w:rPr>
  </w:style>
  <w:style w:type="paragraph" w:customStyle="1" w:styleId="41">
    <w:name w:val="标准文件_段"/>
    <w:autoRedefine/>
    <w:qFormat/>
    <w:uiPriority w:val="0"/>
    <w:pPr>
      <w:autoSpaceDE w:val="0"/>
      <w:autoSpaceDN w:val="0"/>
      <w:spacing w:line="360" w:lineRule="auto"/>
    </w:pPr>
    <w:rPr>
      <w:rFonts w:ascii="宋体" w:hAnsi="宋体" w:eastAsia="宋体" w:cs="Times New Roman"/>
      <w:spacing w:val="2"/>
      <w:sz w:val="24"/>
      <w:szCs w:val="24"/>
      <w:lang w:val="en-US" w:eastAsia="zh-CN" w:bidi="ar-SA"/>
    </w:rPr>
  </w:style>
  <w:style w:type="character" w:customStyle="1" w:styleId="42">
    <w:name w:val="批注框文本 字符"/>
    <w:basedOn w:val="14"/>
    <w:link w:val="6"/>
    <w:qFormat/>
    <w:uiPriority w:val="0"/>
    <w:rPr>
      <w:rFonts w:eastAsiaTheme="minorEastAsia"/>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80</Words>
  <Characters>148</Characters>
  <Lines>54</Lines>
  <Paragraphs>15</Paragraphs>
  <TotalTime>8</TotalTime>
  <ScaleCrop>false</ScaleCrop>
  <LinksUpToDate>false</LinksUpToDate>
  <CharactersWithSpaces>186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2023-06-30T08:32:00Z</dcterms:created>
  <dc:creator>lenovo</dc:creator>
  <cp:lastModifiedBy>Zhao Weiqiang</cp:lastModifiedBy>
  <dcterms:modified xsi:type="dcterms:W3CDTF">2025-10-09T00:24:49Z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CBE80BCC8904458AB00EF060C1F1C6B2_12</vt:lpwstr>
  </property>
  <property fmtid="{D5CDD505-2E9C-101B-9397-08002B2CF9AE}" pid="4" name="KSOTemplateDocerSaveRecord">
    <vt:lpwstr>eyJoZGlkIjoiMzEwNTM5NzYwMDRjMzkwZTVkZjY2ODkwMGIxNGU0OTUiLCJ1c2VySWQiOiI0NTQ4NTY3NDQifQ==</vt:lpwstr>
  </property>
</Properties>
</file>